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A1C2F" w14:textId="070288C4" w:rsidR="00AF630F" w:rsidRPr="00AF630F" w:rsidRDefault="00AF630F" w:rsidP="00AF630F">
      <w:pPr>
        <w:jc w:val="center"/>
        <w:rPr>
          <w:rFonts w:ascii="Centaur" w:hAnsi="Centaur"/>
          <w:b/>
          <w:bCs/>
          <w:lang w:val="en-ID"/>
        </w:rPr>
      </w:pPr>
      <w:r w:rsidRPr="00AF630F">
        <w:rPr>
          <w:rFonts w:ascii="Centaur" w:hAnsi="Centaur"/>
          <w:b/>
          <w:bCs/>
          <w:lang w:val="en-ID"/>
        </w:rPr>
        <w:t xml:space="preserve">WHAT DRIVES </w:t>
      </w:r>
      <w:proofErr w:type="gramStart"/>
      <w:r w:rsidRPr="00AF630F">
        <w:rPr>
          <w:rFonts w:ascii="Centaur" w:hAnsi="Centaur"/>
          <w:b/>
          <w:bCs/>
          <w:lang w:val="en-ID"/>
        </w:rPr>
        <w:t>NON PERFORMING</w:t>
      </w:r>
      <w:proofErr w:type="gramEnd"/>
      <w:r w:rsidRPr="00AF630F">
        <w:rPr>
          <w:rFonts w:ascii="Centaur" w:hAnsi="Centaur"/>
          <w:b/>
          <w:bCs/>
          <w:lang w:val="en-ID"/>
        </w:rPr>
        <w:t xml:space="preserve"> FINANCING? EVIDENCE FROM ISLAMIC RURAL BANKS IN INDONESIA DURING COVID-19</w:t>
      </w:r>
    </w:p>
    <w:p w14:paraId="7CA2970D" w14:textId="77777777" w:rsidR="00EB73CA" w:rsidRDefault="00EB73CA" w:rsidP="008B2542">
      <w:pPr>
        <w:pStyle w:val="BodyText"/>
        <w:tabs>
          <w:tab w:val="left" w:pos="4740"/>
        </w:tabs>
        <w:spacing w:after="0"/>
        <w:jc w:val="center"/>
        <w:rPr>
          <w:rFonts w:ascii="Centaur" w:hAnsi="Centaur"/>
          <w:sz w:val="28"/>
          <w:szCs w:val="28"/>
          <w:lang w:val="id-ID"/>
        </w:rPr>
      </w:pPr>
    </w:p>
    <w:p w14:paraId="0489D040" w14:textId="77777777" w:rsidR="008B2542" w:rsidRPr="008B2542" w:rsidRDefault="008B2542" w:rsidP="008B2542">
      <w:pPr>
        <w:pStyle w:val="BodyText"/>
        <w:tabs>
          <w:tab w:val="left" w:pos="4740"/>
        </w:tabs>
        <w:spacing w:after="0"/>
        <w:jc w:val="center"/>
        <w:rPr>
          <w:rFonts w:ascii="Centaur" w:hAnsi="Centaur"/>
          <w:sz w:val="28"/>
          <w:szCs w:val="28"/>
          <w:lang w:val="id-ID"/>
        </w:rPr>
      </w:pPr>
    </w:p>
    <w:p w14:paraId="3606EAE9" w14:textId="5D95C0AE" w:rsidR="00F06F4F" w:rsidRDefault="00AF630F" w:rsidP="008B2542">
      <w:pPr>
        <w:autoSpaceDE w:val="0"/>
        <w:autoSpaceDN w:val="0"/>
        <w:adjustRightInd w:val="0"/>
        <w:jc w:val="center"/>
        <w:rPr>
          <w:rFonts w:ascii="Centaur" w:hAnsi="Centaur"/>
          <w:b/>
          <w:sz w:val="28"/>
          <w:szCs w:val="28"/>
        </w:rPr>
      </w:pPr>
      <w:proofErr w:type="spellStart"/>
      <w:r>
        <w:rPr>
          <w:rFonts w:ascii="Centaur" w:hAnsi="Centaur"/>
          <w:b/>
          <w:sz w:val="28"/>
          <w:szCs w:val="28"/>
        </w:rPr>
        <w:t>Rifadli</w:t>
      </w:r>
      <w:proofErr w:type="spellEnd"/>
      <w:r>
        <w:rPr>
          <w:rFonts w:ascii="Centaur" w:hAnsi="Centaur"/>
          <w:b/>
          <w:sz w:val="28"/>
          <w:szCs w:val="28"/>
        </w:rPr>
        <w:t xml:space="preserve"> D. Kadir</w:t>
      </w:r>
    </w:p>
    <w:p w14:paraId="550DCD6B" w14:textId="743E1729" w:rsidR="00AF630F" w:rsidRPr="00AF630F" w:rsidRDefault="00AF630F" w:rsidP="008B2542">
      <w:pPr>
        <w:autoSpaceDE w:val="0"/>
        <w:autoSpaceDN w:val="0"/>
        <w:adjustRightInd w:val="0"/>
        <w:jc w:val="center"/>
        <w:rPr>
          <w:rFonts w:ascii="Centaur" w:hAnsi="Centaur"/>
          <w:b/>
          <w:sz w:val="28"/>
          <w:szCs w:val="28"/>
        </w:rPr>
      </w:pPr>
      <w:r>
        <w:rPr>
          <w:rFonts w:ascii="Centaur" w:hAnsi="Centaur"/>
          <w:b/>
          <w:sz w:val="28"/>
          <w:szCs w:val="28"/>
        </w:rPr>
        <w:t>Faculty of Islamic Economics and Business, IAIN Sultan Amai Gorontalo</w:t>
      </w:r>
    </w:p>
    <w:p w14:paraId="06E27D09" w14:textId="6B1DF577" w:rsidR="005C4FD2" w:rsidRPr="00F06F4F" w:rsidRDefault="00AF630F" w:rsidP="008B2542">
      <w:pPr>
        <w:autoSpaceDE w:val="0"/>
        <w:autoSpaceDN w:val="0"/>
        <w:adjustRightInd w:val="0"/>
        <w:jc w:val="center"/>
        <w:rPr>
          <w:rFonts w:ascii="Centaur" w:hAnsi="Centaur"/>
          <w:b/>
          <w:i/>
          <w:iCs/>
        </w:rPr>
      </w:pPr>
      <w:r>
        <w:rPr>
          <w:rFonts w:ascii="Centaur" w:hAnsi="Centaur"/>
          <w:b/>
          <w:i/>
          <w:iCs/>
        </w:rPr>
        <w:t>rkadir@iaingorontalo.ac.id</w:t>
      </w:r>
    </w:p>
    <w:p w14:paraId="39E36E41" w14:textId="77777777" w:rsidR="00800352" w:rsidRPr="00736C2E" w:rsidRDefault="00800352" w:rsidP="008B2542">
      <w:pPr>
        <w:jc w:val="both"/>
        <w:rPr>
          <w:rFonts w:ascii="Centaur" w:hAnsi="Centaur"/>
          <w:sz w:val="28"/>
          <w:szCs w:val="28"/>
        </w:rPr>
      </w:pPr>
    </w:p>
    <w:p w14:paraId="65097EFD" w14:textId="77777777" w:rsidR="005C4FD2" w:rsidRPr="00F06F4F" w:rsidRDefault="008F4C8B" w:rsidP="008B2542">
      <w:pPr>
        <w:pStyle w:val="ListParagraph"/>
        <w:autoSpaceDE w:val="0"/>
        <w:autoSpaceDN w:val="0"/>
        <w:adjustRightInd w:val="0"/>
        <w:ind w:left="567" w:right="567"/>
        <w:jc w:val="both"/>
        <w:rPr>
          <w:rFonts w:ascii="Centaur" w:hAnsi="Centaur"/>
          <w:i/>
          <w:sz w:val="28"/>
          <w:szCs w:val="28"/>
          <w:lang w:val="id-ID"/>
        </w:rPr>
      </w:pPr>
      <w:r w:rsidRPr="00F06F4F">
        <w:rPr>
          <w:rFonts w:ascii="Centaur" w:hAnsi="Centaur"/>
          <w:b/>
          <w:i/>
          <w:sz w:val="28"/>
          <w:szCs w:val="28"/>
          <w:lang w:val="sv-SE"/>
        </w:rPr>
        <w:t>ABSTRACT</w:t>
      </w:r>
    </w:p>
    <w:p w14:paraId="4E2B2966" w14:textId="77777777" w:rsidR="00AF630F" w:rsidRPr="00AF630F" w:rsidRDefault="00AF630F" w:rsidP="00AF630F">
      <w:pPr>
        <w:pStyle w:val="ListParagraph"/>
        <w:ind w:left="567"/>
        <w:jc w:val="both"/>
        <w:rPr>
          <w:rFonts w:ascii="Centaur" w:hAnsi="Centaur"/>
          <w:sz w:val="28"/>
          <w:szCs w:val="28"/>
          <w:lang w:val="en-ID"/>
        </w:rPr>
      </w:pPr>
      <w:r w:rsidRPr="00AF630F">
        <w:rPr>
          <w:rFonts w:ascii="Centaur" w:hAnsi="Centaur"/>
          <w:sz w:val="28"/>
          <w:szCs w:val="28"/>
          <w:lang w:val="en-ID"/>
        </w:rPr>
        <w:t xml:space="preserve">This study investigates the variables that affect Non-Performing Financing at Islamic Rural Banks (IRB) during the covid-19 pandemic. This study uses panel data taken in 2020 at the time of the COVID-19 pandemic. The data is processed using panel data regression analysis. The results of this study indicated that macroeconomic variables proxied by GRDP have a negative impact on NPF both in small and large banks in Java and outside Java. Furthermore, this study specified that Sharia BPRs are more careful in distributing financing, especially during the COVID-19 pandemic crisis. </w:t>
      </w:r>
    </w:p>
    <w:p w14:paraId="68E01694" w14:textId="77777777" w:rsidR="00AF630F" w:rsidRPr="00C564F2" w:rsidRDefault="00AF630F" w:rsidP="00AF630F">
      <w:pPr>
        <w:pStyle w:val="ListParagraph"/>
        <w:ind w:left="0"/>
        <w:jc w:val="both"/>
        <w:rPr>
          <w:lang w:val="en-ID"/>
        </w:rPr>
      </w:pPr>
    </w:p>
    <w:p w14:paraId="77CF1483" w14:textId="77777777" w:rsidR="00AF630F" w:rsidRPr="00C564F2" w:rsidRDefault="00AF630F" w:rsidP="00AF630F">
      <w:pPr>
        <w:ind w:right="141" w:firstLine="567"/>
        <w:jc w:val="both"/>
        <w:rPr>
          <w:iCs/>
          <w:lang w:val="en-ID"/>
        </w:rPr>
      </w:pPr>
      <w:r w:rsidRPr="00C564F2">
        <w:rPr>
          <w:b/>
          <w:bCs/>
          <w:lang w:val="en-ID"/>
        </w:rPr>
        <w:t>Keywords:</w:t>
      </w:r>
      <w:r w:rsidRPr="00C564F2">
        <w:rPr>
          <w:lang w:val="en-ID"/>
        </w:rPr>
        <w:t xml:space="preserve"> NPF, GRDP, Covid-19</w:t>
      </w:r>
    </w:p>
    <w:p w14:paraId="4FF327BB" w14:textId="77777777" w:rsidR="00E94CAD" w:rsidRPr="00F06F4F" w:rsidRDefault="00E94CAD" w:rsidP="008B2542">
      <w:pPr>
        <w:pStyle w:val="BodyText"/>
        <w:spacing w:after="0"/>
        <w:ind w:left="567" w:right="567"/>
        <w:jc w:val="both"/>
        <w:rPr>
          <w:rFonts w:ascii="Centaur" w:hAnsi="Centaur"/>
          <w:i/>
          <w:sz w:val="28"/>
          <w:szCs w:val="28"/>
          <w:lang w:val="sv-SE"/>
        </w:rPr>
      </w:pPr>
    </w:p>
    <w:p w14:paraId="6ED4A873" w14:textId="77777777" w:rsidR="00F42780" w:rsidRDefault="00F42780" w:rsidP="008B2542">
      <w:pPr>
        <w:pStyle w:val="BodyText"/>
        <w:spacing w:after="0"/>
        <w:ind w:left="567" w:right="567"/>
        <w:jc w:val="both"/>
        <w:rPr>
          <w:rFonts w:ascii="Centaur" w:hAnsi="Centaur"/>
          <w:i/>
          <w:sz w:val="28"/>
          <w:szCs w:val="28"/>
          <w:lang w:val="id-ID"/>
        </w:rPr>
      </w:pPr>
    </w:p>
    <w:p w14:paraId="6F4F3AC3" w14:textId="77777777" w:rsidR="00F42780" w:rsidRPr="00F42780" w:rsidRDefault="00F42780" w:rsidP="008B2542">
      <w:pPr>
        <w:pStyle w:val="BodyText"/>
        <w:spacing w:after="0"/>
        <w:ind w:left="567" w:right="567"/>
        <w:jc w:val="both"/>
        <w:rPr>
          <w:rFonts w:ascii="Centaur" w:hAnsi="Centaur"/>
          <w:i/>
          <w:sz w:val="28"/>
          <w:szCs w:val="28"/>
          <w:lang w:val="id-ID"/>
        </w:rPr>
      </w:pPr>
    </w:p>
    <w:p w14:paraId="4D8E35C3" w14:textId="63C6B627" w:rsidR="0088016A" w:rsidRPr="00AF630F" w:rsidRDefault="00B06972" w:rsidP="008B2542">
      <w:pPr>
        <w:pStyle w:val="BodyText"/>
        <w:numPr>
          <w:ilvl w:val="0"/>
          <w:numId w:val="1"/>
        </w:numPr>
        <w:spacing w:after="0" w:line="216" w:lineRule="auto"/>
        <w:ind w:left="426" w:hanging="426"/>
        <w:jc w:val="both"/>
        <w:rPr>
          <w:rFonts w:ascii="Centaur" w:hAnsi="Centaur"/>
          <w:b/>
          <w:bCs/>
          <w:sz w:val="28"/>
          <w:szCs w:val="28"/>
          <w:lang w:val="it-IT"/>
        </w:rPr>
      </w:pPr>
      <w:r w:rsidRPr="00736C2E">
        <w:rPr>
          <w:rFonts w:ascii="Centaur" w:eastAsiaTheme="minorHAnsi" w:hAnsi="Centaur" w:cs="Centaur"/>
          <w:b/>
          <w:bCs/>
          <w:color w:val="000000"/>
          <w:sz w:val="28"/>
          <w:szCs w:val="28"/>
          <w:lang w:val="id-ID"/>
        </w:rPr>
        <w:t>INTRODUCTION</w:t>
      </w:r>
    </w:p>
    <w:p w14:paraId="6F09DAF8" w14:textId="77777777" w:rsidR="00AF630F" w:rsidRDefault="00AF630F" w:rsidP="00AF630F">
      <w:pPr>
        <w:ind w:firstLine="426"/>
        <w:jc w:val="both"/>
        <w:rPr>
          <w:lang w:val="en-ID"/>
        </w:rPr>
      </w:pPr>
      <w:r w:rsidRPr="00C564F2">
        <w:rPr>
          <w:lang w:val="en-ID"/>
        </w:rPr>
        <w:t xml:space="preserve">The Covid-19 pandemic does not only create a crisis in the health sector, but also affected to all fields including the economy and financial sector. Economic and financial crises can result in the failure of financial intermediary institutions such as banks </w:t>
      </w:r>
      <w:r w:rsidRPr="00C564F2">
        <w:rPr>
          <w:lang w:val="en-ID"/>
        </w:rPr>
        <w:fldChar w:fldCharType="begin" w:fldLock="1"/>
      </w:r>
      <w:r w:rsidRPr="00C564F2">
        <w:rPr>
          <w:lang w:val="en-ID"/>
        </w:rPr>
        <w:instrText>ADDIN CSL_CITATION {"citationItems":[{"id":"ITEM-1","itemData":{"author":[{"dropping-particle":"","family":"Cetorelli","given":"N.","non-dropping-particle":"","parse-names":false,"suffix":""},{"dropping-particle":"","family":"B.H.","given":"Mandel","non-dropping-particle":"","parse-names":false,"suffix":""},{"dropping-particle":"","family":"L.","given":"Mollineaux","non-dropping-particle":"","parse-names":false,"suffix":""}],"container-title":"Federal Reserve Bank of New York Economic Policy Review","id":"ITEM-1","issue":"2","issued":{"date-parts":[["2012"]]},"page":"1-12","title":"The Evolution of Banks and Financial Tntermediation: Framing The Analysis","type":"article-journal","volume":"18"},"uris":["http://www.mendeley.com/documents/?uuid=1c2e870a-3fdc-453c-872e-a4a970929dcf"]}],"mendeley":{"formattedCitation":"(Cetorelli et al., 2012)","plainTextFormattedCitation":"(Cetorelli et al., 2012)","previouslyFormattedCitation":"(Cetorelli et al., 2012)"},"properties":{"noteIndex":0},"schema":"https://github.com/citation-style-language/schema/raw/master/csl-citation.json"}</w:instrText>
      </w:r>
      <w:r w:rsidRPr="00C564F2">
        <w:rPr>
          <w:lang w:val="en-ID"/>
        </w:rPr>
        <w:fldChar w:fldCharType="separate"/>
      </w:r>
      <w:r w:rsidRPr="00C564F2">
        <w:rPr>
          <w:lang w:val="en-ID"/>
        </w:rPr>
        <w:t>(</w:t>
      </w:r>
      <w:proofErr w:type="spellStart"/>
      <w:r w:rsidRPr="00C564F2">
        <w:rPr>
          <w:lang w:val="en-ID"/>
        </w:rPr>
        <w:t>Cetorelli</w:t>
      </w:r>
      <w:proofErr w:type="spellEnd"/>
      <w:r w:rsidRPr="00C564F2">
        <w:rPr>
          <w:lang w:val="en-ID"/>
        </w:rPr>
        <w:t xml:space="preserve"> et al., 2012)</w:t>
      </w:r>
      <w:r w:rsidRPr="00C564F2">
        <w:rPr>
          <w:lang w:val="en-ID"/>
        </w:rPr>
        <w:fldChar w:fldCharType="end"/>
      </w:r>
      <w:r w:rsidRPr="00C564F2">
        <w:rPr>
          <w:lang w:val="en-ID"/>
        </w:rPr>
        <w:t xml:space="preserve">. The financial crisis has caused many global financial institutions to experience various problems. The main problem faced by financial institutions when a crisis occurs is the increase in non-performing loans or financing </w:t>
      </w:r>
      <w:r w:rsidRPr="00C564F2">
        <w:rPr>
          <w:lang w:val="en-ID"/>
        </w:rPr>
        <w:fldChar w:fldCharType="begin" w:fldLock="1"/>
      </w:r>
      <w:r w:rsidRPr="00C564F2">
        <w:rPr>
          <w:lang w:val="en-ID"/>
        </w:rPr>
        <w:instrText>ADDIN CSL_CITATION {"citationItems":[{"id":"ITEM-1","itemData":{"DOI":"10.1080/1540496X.2018.1547877","ISSN":"1540-496X","author":[{"dropping-particle":"","family":"Kuzucu","given":"Narman","non-dropping-particle":"","parse-names":false,"suffix":""},{"dropping-particle":"","family":"Kuzucu","given":"Serpil","non-dropping-particle":"","parse-names":false,"suffix":""},{"dropping-particle":"","family":"Kuzucu","given":"Narman","non-dropping-particle":"","parse-names":false,"suffix":""}],"container-title":"Emerging Markets Finance and Trade","id":"ITEM-1","issue":"00","issued":{"date-parts":[["2019"]]},"page":"1-15","publisher":"Routledge","title":"What Drives Non-Performing Loans ? Evidence from Emerging and Advanced Economies during Pre- and Post-Global Financial Crisis What Drives Non-Performing Loans ? Evidence from Emerging and Advanced Economies during Pre- and Post-Global Financial Crisis","type":"article-journal","volume":"00"},"uris":["http://www.mendeley.com/documents/?uuid=f502d765-c146-468b-b84b-f2b923548f29"]}],"mendeley":{"formattedCitation":"(Kuzucu et al., 2019)","plainTextFormattedCitation":"(Kuzucu et al., 2019)","previouslyFormattedCitation":"(Kuzucu et al., 2019)"},"properties":{"noteIndex":0},"schema":"https://github.com/citation-style-language/schema/raw/master/csl-citation.json"}</w:instrText>
      </w:r>
      <w:r w:rsidRPr="00C564F2">
        <w:rPr>
          <w:lang w:val="en-ID"/>
        </w:rPr>
        <w:fldChar w:fldCharType="separate"/>
      </w:r>
      <w:r w:rsidRPr="00C564F2">
        <w:rPr>
          <w:lang w:val="en-ID"/>
        </w:rPr>
        <w:t>(</w:t>
      </w:r>
      <w:proofErr w:type="spellStart"/>
      <w:r w:rsidRPr="00C564F2">
        <w:rPr>
          <w:lang w:val="en-ID"/>
        </w:rPr>
        <w:t>Kuzucu</w:t>
      </w:r>
      <w:proofErr w:type="spellEnd"/>
      <w:r w:rsidRPr="00C564F2">
        <w:rPr>
          <w:lang w:val="en-ID"/>
        </w:rPr>
        <w:t xml:space="preserve"> et al., 2019)</w:t>
      </w:r>
      <w:r w:rsidRPr="00C564F2">
        <w:rPr>
          <w:lang w:val="en-ID"/>
        </w:rPr>
        <w:fldChar w:fldCharType="end"/>
      </w:r>
      <w:r w:rsidRPr="00C564F2">
        <w:rPr>
          <w:lang w:val="en-ID"/>
        </w:rPr>
        <w:t xml:space="preserve">. </w:t>
      </w:r>
    </w:p>
    <w:p w14:paraId="63B14779" w14:textId="153D62F4" w:rsidR="00AF630F" w:rsidRPr="00C564F2" w:rsidRDefault="00AF630F" w:rsidP="00AF630F">
      <w:pPr>
        <w:ind w:firstLine="426"/>
        <w:jc w:val="both"/>
        <w:rPr>
          <w:lang w:val="en-ID"/>
        </w:rPr>
      </w:pPr>
      <w:r w:rsidRPr="00C564F2">
        <w:rPr>
          <w:lang w:val="en-ID"/>
        </w:rPr>
        <w:t xml:space="preserve">Non-performing financing is a very crucial issue for both conventional and Islamic banks </w:t>
      </w:r>
      <w:r w:rsidRPr="00C564F2">
        <w:rPr>
          <w:lang w:val="en-ID"/>
        </w:rPr>
        <w:fldChar w:fldCharType="begin" w:fldLock="1"/>
      </w:r>
      <w:r w:rsidRPr="00C564F2">
        <w:rPr>
          <w:lang w:val="en-ID"/>
        </w:rPr>
        <w:instrText>ADDIN CSL_CITATION {"citationItems":[{"id":"ITEM-1","itemData":{"author":[{"dropping-particle":"","family":"Isaev","given":"Mirolim","non-dropping-particle":"","parse-names":false,"suffix":""},{"dropping-particle":"","family":"Masih","given":"Mansur","non-dropping-particle":"","parse-names":false,"suffix":""}],"container-title":"Munich Personal RePEc Archive","id":"ITEM-1","issue":"79719","issued":{"date-parts":[["2017"]]},"title":"Macroeconomic and bank-specific determinants of different categories of non-performing financing in Islamic banks : Evidence from Malaysia","type":"article-journal"},"uris":["http://www.mendeley.com/documents/?uuid=f0224419-d0d2-43e9-9686-984ebd1da032"]}],"mendeley":{"formattedCitation":"(Isaev &amp; Masih, 2017)","plainTextFormattedCitation":"(Isaev &amp; Masih, 2017)","previouslyFormattedCitation":"(Isaev &amp; Masih, 2017)"},"properties":{"noteIndex":0},"schema":"https://github.com/citation-style-language/schema/raw/master/csl-citation.json"}</w:instrText>
      </w:r>
      <w:r w:rsidRPr="00C564F2">
        <w:rPr>
          <w:lang w:val="en-ID"/>
        </w:rPr>
        <w:fldChar w:fldCharType="separate"/>
      </w:r>
      <w:r w:rsidRPr="00C564F2">
        <w:rPr>
          <w:lang w:val="en-ID"/>
        </w:rPr>
        <w:t>(Isaev &amp; Masih, 2017)</w:t>
      </w:r>
      <w:r w:rsidRPr="00C564F2">
        <w:rPr>
          <w:lang w:val="en-ID"/>
        </w:rPr>
        <w:fldChar w:fldCharType="end"/>
      </w:r>
      <w:r w:rsidRPr="00C564F2">
        <w:rPr>
          <w:lang w:val="en-ID"/>
        </w:rPr>
        <w:t xml:space="preserve">. The crisis that </w:t>
      </w:r>
      <w:proofErr w:type="gramStart"/>
      <w:r w:rsidRPr="00C564F2">
        <w:rPr>
          <w:lang w:val="en-ID"/>
        </w:rPr>
        <w:t>increase</w:t>
      </w:r>
      <w:proofErr w:type="gramEnd"/>
      <w:r w:rsidRPr="00C564F2">
        <w:rPr>
          <w:lang w:val="en-ID"/>
        </w:rPr>
        <w:t xml:space="preserve"> the NPF is hitting mostly in profit-share based banks. Islamic banks have a higher level of non-performing financing compared to conventional banks </w:t>
      </w:r>
      <w:r w:rsidRPr="00C564F2">
        <w:rPr>
          <w:lang w:val="en-ID"/>
        </w:rPr>
        <w:fldChar w:fldCharType="begin" w:fldLock="1"/>
      </w:r>
      <w:r w:rsidRPr="00C564F2">
        <w:rPr>
          <w:lang w:val="en-ID"/>
        </w:rPr>
        <w:instrText>ADDIN CSL_CITATION {"citationItems":[{"id":"ITEM-1","itemData":{"DOI":"https://doi.org/10.1016/j.pacfin.2015.06.001","author":[{"dropping-particle":"","family":"Kabir","given":"M. N.","non-dropping-particle":"","parse-names":false,"suffix":""},{"dropping-particle":"","family":"Worthington","given":"A.","non-dropping-particle":"","parse-names":false,"suffix":""},{"dropping-particle":"","family":"Gupta","given":"R.","non-dropping-particle":"","parse-names":false,"suffix":""}],"container-title":"Pacific Basin Finance Journal","id":"ITEM-1","issued":{"date-parts":[["2015"]]},"page":"327-353","title":"Comparative Credit Risk in Islamic and Conventional Bank","type":"article-journal","volume":"34"},"uris":["http://www.mendeley.com/documents/?uuid=9da49c37-3b08-4336-8496-724bd09a2bfc"]}],"mendeley":{"formattedCitation":"(Kabir et al., 2015)","plainTextFormattedCitation":"(Kabir et al., 2015)","previouslyFormattedCitation":"(Kabir et al., 2015)"},"properties":{"noteIndex":0},"schema":"https://github.com/citation-style-language/schema/raw/master/csl-citation.json"}</w:instrText>
      </w:r>
      <w:r w:rsidRPr="00C564F2">
        <w:rPr>
          <w:lang w:val="en-ID"/>
        </w:rPr>
        <w:fldChar w:fldCharType="separate"/>
      </w:r>
      <w:r w:rsidRPr="00C564F2">
        <w:rPr>
          <w:lang w:val="en-ID"/>
        </w:rPr>
        <w:t>(Kabir et al., 2015)</w:t>
      </w:r>
      <w:r w:rsidRPr="00C564F2">
        <w:rPr>
          <w:lang w:val="en-ID"/>
        </w:rPr>
        <w:fldChar w:fldCharType="end"/>
      </w:r>
      <w:r w:rsidRPr="00C564F2">
        <w:rPr>
          <w:lang w:val="en-ID"/>
        </w:rPr>
        <w:t xml:space="preserve">. </w:t>
      </w:r>
    </w:p>
    <w:p w14:paraId="230FE212" w14:textId="77777777" w:rsidR="00AF630F" w:rsidRPr="00C564F2" w:rsidRDefault="00AF630F" w:rsidP="00AF630F">
      <w:pPr>
        <w:jc w:val="both"/>
        <w:rPr>
          <w:lang w:val="en-ID"/>
        </w:rPr>
      </w:pPr>
      <w:r w:rsidRPr="00C564F2">
        <w:rPr>
          <w:lang w:val="en-ID"/>
        </w:rPr>
        <w:t>This study elaborated the dynamics of non-performing financing (NPF) in one type of Islamic bank in Indonesia, namely the Islamic Rural Bank (</w:t>
      </w:r>
      <w:r>
        <w:rPr>
          <w:lang w:val="en-ID"/>
        </w:rPr>
        <w:t>IRB</w:t>
      </w:r>
      <w:r w:rsidRPr="00C564F2">
        <w:rPr>
          <w:lang w:val="en-ID"/>
        </w:rPr>
        <w:t xml:space="preserve">) during the COVID-19 pandemic in Indonesia. The NPF at Sharia BPR in Indonesia during Covid-19 has increased since Covid-19 was first announced in early 2020. According to the Sharia Banking Statistics (SPS) released by the Financial Services Authority (OJK), there has been an increase in non-performing loans experienced by Sharia BPR in Indonesia </w:t>
      </w:r>
      <w:r w:rsidRPr="00C564F2">
        <w:rPr>
          <w:lang w:val="en-ID"/>
        </w:rPr>
        <w:lastRenderedPageBreak/>
        <w:t xml:space="preserve">over the past few years during the Covid-19 pandemic. The NPF of Sharia BPR in 2019 was 7.05% and increased in 2020 by 8.5% </w:t>
      </w:r>
      <w:r w:rsidRPr="00C564F2">
        <w:rPr>
          <w:lang w:val="en-ID"/>
        </w:rPr>
        <w:fldChar w:fldCharType="begin" w:fldLock="1"/>
      </w:r>
      <w:r w:rsidRPr="00C564F2">
        <w:rPr>
          <w:lang w:val="en-ID"/>
        </w:rPr>
        <w:instrText>ADDIN CSL_CITATION {"citationItems":[{"id":"ITEM-1","itemData":{"author":[{"dropping-particle":"","family":"Keuangan","given":"Otoritas Jasa","non-dropping-particle":"","parse-names":false,"suffix":""}],"id":"ITEM-1","issued":{"date-parts":[["2020"]]},"title":"Statistik Perbankan Syariah","type":"report"},"uris":["http://www.mendeley.com/documents/?uuid=337dd065-0130-4883-805d-d2332237750c"]}],"mendeley":{"formattedCitation":"(Keuangan, 2020)","manualFormatting":"(OJK, 2020)","plainTextFormattedCitation":"(Keuangan, 2020)","previouslyFormattedCitation":"(Keuangan, 2020)"},"properties":{"noteIndex":0},"schema":"https://github.com/citation-style-language/schema/raw/master/csl-citation.json"}</w:instrText>
      </w:r>
      <w:r w:rsidRPr="00C564F2">
        <w:rPr>
          <w:lang w:val="en-ID"/>
        </w:rPr>
        <w:fldChar w:fldCharType="separate"/>
      </w:r>
      <w:r w:rsidRPr="00C564F2">
        <w:rPr>
          <w:lang w:val="en-ID"/>
        </w:rPr>
        <w:t>(OJK, 2020)</w:t>
      </w:r>
      <w:r w:rsidRPr="00C564F2">
        <w:rPr>
          <w:lang w:val="en-ID"/>
        </w:rPr>
        <w:fldChar w:fldCharType="end"/>
      </w:r>
      <w:r w:rsidRPr="00C564F2">
        <w:rPr>
          <w:lang w:val="en-ID"/>
        </w:rPr>
        <w:t xml:space="preserve">. </w:t>
      </w:r>
    </w:p>
    <w:p w14:paraId="3360A2B5" w14:textId="77777777" w:rsidR="00AF630F" w:rsidRPr="00C564F2" w:rsidRDefault="00AF630F" w:rsidP="00AF630F">
      <w:pPr>
        <w:jc w:val="both"/>
        <w:rPr>
          <w:lang w:val="en-ID"/>
        </w:rPr>
      </w:pPr>
      <w:r w:rsidRPr="00C564F2">
        <w:t>BPR Syariah is a bank that is very important to develop the rural sector economy. Where</w:t>
      </w:r>
      <w:r>
        <w:t xml:space="preserve"> </w:t>
      </w:r>
      <w:proofErr w:type="gramStart"/>
      <w:r>
        <w:t>IRB</w:t>
      </w:r>
      <w:r w:rsidRPr="00C564F2">
        <w:t xml:space="preserve">  focuses</w:t>
      </w:r>
      <w:proofErr w:type="gramEnd"/>
      <w:r w:rsidRPr="00C564F2">
        <w:t xml:space="preserve"> on Micro, Small and Medium Enterprises (SMEs). Recently, there are 36 thousand micro and small companies and 1000 large companies, while the total of </w:t>
      </w:r>
      <w:r>
        <w:t>IRBs</w:t>
      </w:r>
      <w:r w:rsidRPr="00C564F2">
        <w:t xml:space="preserve"> in Indonesia </w:t>
      </w:r>
      <w:r w:rsidRPr="00C564F2">
        <w:rPr>
          <w:lang w:val="id-ID"/>
        </w:rPr>
        <w:t xml:space="preserve">is </w:t>
      </w:r>
      <w:r w:rsidRPr="00C564F2">
        <w:t>165</w:t>
      </w:r>
      <w:r w:rsidRPr="00C564F2">
        <w:rPr>
          <w:lang w:val="id-ID"/>
        </w:rPr>
        <w:t xml:space="preserve"> banks</w:t>
      </w:r>
      <w:r w:rsidRPr="00C564F2">
        <w:t xml:space="preserve">. Therefore, the existence of </w:t>
      </w:r>
      <w:r>
        <w:t>IRB</w:t>
      </w:r>
      <w:r w:rsidRPr="00C564F2">
        <w:t xml:space="preserve"> in Indonesia needs to be sustained with better financial performance </w:t>
      </w:r>
      <w:r w:rsidRPr="00C564F2">
        <w:rPr>
          <w:lang w:val="en-ID"/>
        </w:rPr>
        <w:fldChar w:fldCharType="begin" w:fldLock="1"/>
      </w:r>
      <w:r w:rsidRPr="00C564F2">
        <w:rPr>
          <w:lang w:val="en-ID"/>
        </w:rPr>
        <w:instrText>ADDIN CSL_CITATION {"citationItems":[{"id":"ITEM-1","itemData":{"author":[{"dropping-particle":"","family":"Widarjono","given":"Agus","non-dropping-particle":"","parse-names":false,"suffix":""},{"dropping-particle":"","family":"Rudatin","given":"Ari","non-dropping-particle":"","parse-names":false,"suffix":""}],"container-title":"Global of Islamic Economics and Business","id":"ITEM-1","issue":"1","issued":{"date-parts":[["2021"]]},"page":"29-41","title":"The Determinants of Indonesian Islamic Rural Banks' Non-Performing Financing","type":"article-journal","volume":"9"},"uris":["http://www.mendeley.com/documents/?uuid=97413041-aa94-487f-8d40-c42d18a3aea5"]}],"mendeley":{"formattedCitation":"(Widarjono &amp; Rudatin, 2021)","plainTextFormattedCitation":"(Widarjono &amp; Rudatin, 2021)","previouslyFormattedCitation":"(Widarjono &amp; Rudatin, 2021)"},"properties":{"noteIndex":0},"schema":"https://github.com/citation-style-language/schema/raw/master/csl-citation.json"}</w:instrText>
      </w:r>
      <w:r w:rsidRPr="00C564F2">
        <w:rPr>
          <w:lang w:val="en-ID"/>
        </w:rPr>
        <w:fldChar w:fldCharType="separate"/>
      </w:r>
      <w:r w:rsidRPr="00C564F2">
        <w:rPr>
          <w:lang w:val="en-ID"/>
        </w:rPr>
        <w:t>(</w:t>
      </w:r>
      <w:proofErr w:type="spellStart"/>
      <w:r w:rsidRPr="00C564F2">
        <w:rPr>
          <w:lang w:val="en-ID"/>
        </w:rPr>
        <w:t>Widarjono</w:t>
      </w:r>
      <w:proofErr w:type="spellEnd"/>
      <w:r w:rsidRPr="00C564F2">
        <w:rPr>
          <w:lang w:val="en-ID"/>
        </w:rPr>
        <w:t xml:space="preserve"> &amp; </w:t>
      </w:r>
      <w:proofErr w:type="spellStart"/>
      <w:r w:rsidRPr="00C564F2">
        <w:rPr>
          <w:lang w:val="en-ID"/>
        </w:rPr>
        <w:t>Rudatin</w:t>
      </w:r>
      <w:proofErr w:type="spellEnd"/>
      <w:r w:rsidRPr="00C564F2">
        <w:rPr>
          <w:lang w:val="en-ID"/>
        </w:rPr>
        <w:t>, 2021)</w:t>
      </w:r>
      <w:r w:rsidRPr="00C564F2">
        <w:rPr>
          <w:lang w:val="en-ID"/>
        </w:rPr>
        <w:fldChar w:fldCharType="end"/>
      </w:r>
      <w:r w:rsidRPr="00C564F2">
        <w:rPr>
          <w:lang w:val="en-ID"/>
        </w:rPr>
        <w:t xml:space="preserve">. </w:t>
      </w:r>
    </w:p>
    <w:p w14:paraId="1D4ECF40" w14:textId="77777777" w:rsidR="00AF630F" w:rsidRPr="00C564F2" w:rsidRDefault="00AF630F" w:rsidP="00AF630F">
      <w:pPr>
        <w:jc w:val="both"/>
      </w:pPr>
      <w:r w:rsidRPr="00C564F2">
        <w:t>The factors that affect the non-performing loans at the Bank have been commonly studied.</w:t>
      </w:r>
      <w:r w:rsidRPr="00C564F2">
        <w:rPr>
          <w:lang w:val="en-ID"/>
        </w:rPr>
        <w:t xml:space="preserve"> </w:t>
      </w:r>
      <w:r w:rsidRPr="00C564F2">
        <w:t xml:space="preserve">Research on conventional banks as conducted by several scholars as follows: </w:t>
      </w:r>
      <w:r w:rsidRPr="00C564F2">
        <w:rPr>
          <w:lang w:val="en-ID"/>
        </w:rPr>
        <w:fldChar w:fldCharType="begin" w:fldLock="1"/>
      </w:r>
      <w:r w:rsidRPr="00C564F2">
        <w:rPr>
          <w:lang w:val="en-ID"/>
        </w:rPr>
        <w:instrText>ADDIN CSL_CITATION {"citationItems":[{"id":"ITEM-1","itemData":{"DOI":"10.1515/jcbtp-2015-0004","author":[{"dropping-particle":"","family":"Tanasković","given":"Svetozar","non-dropping-particle":"","parse-names":false,"suffix":""},{"dropping-particle":"","family":"Jandrić","given":"Maja","non-dropping-particle":"","parse-names":false,"suffix":""}],"container-title":"Journal of Central Banking Theory and Practice","id":"ITEM-1","issue":"1","issued":{"date-parts":[["2015"]]},"title":"Macroeconomic and Institutional Determinants of Non-performing Loans","type":"article-journal","volume":"4"},"uris":["http://www.mendeley.com/documents/?uuid=1220f621-d1e3-4d35-89ab-f2d4d520f40c"]}],"mendeley":{"formattedCitation":"(Tanasković &amp; Jandrić, 2015)","manualFormatting":"Tanasković &amp; Jandrić, (2015)","plainTextFormattedCitation":"(Tanasković &amp; Jandrić, 2015)","previouslyFormattedCitation":"(Tanasković &amp; Jandrić, 2015)"},"properties":{"noteIndex":0},"schema":"https://github.com/citation-style-language/schema/raw/master/csl-citation.json"}</w:instrText>
      </w:r>
      <w:r w:rsidRPr="00C564F2">
        <w:rPr>
          <w:lang w:val="en-ID"/>
        </w:rPr>
        <w:fldChar w:fldCharType="separate"/>
      </w:r>
      <w:proofErr w:type="spellStart"/>
      <w:r w:rsidRPr="00C564F2">
        <w:rPr>
          <w:lang w:val="en-ID"/>
        </w:rPr>
        <w:t>Tanasković</w:t>
      </w:r>
      <w:proofErr w:type="spellEnd"/>
      <w:r w:rsidRPr="00C564F2">
        <w:rPr>
          <w:lang w:val="en-ID"/>
        </w:rPr>
        <w:t xml:space="preserve"> &amp; </w:t>
      </w:r>
      <w:proofErr w:type="spellStart"/>
      <w:r w:rsidRPr="00C564F2">
        <w:rPr>
          <w:lang w:val="en-ID"/>
        </w:rPr>
        <w:t>Jandrić</w:t>
      </w:r>
      <w:proofErr w:type="spellEnd"/>
      <w:r w:rsidRPr="00C564F2">
        <w:rPr>
          <w:lang w:val="en-ID"/>
        </w:rPr>
        <w:t>, (2015)</w:t>
      </w:r>
      <w:r w:rsidRPr="00C564F2">
        <w:rPr>
          <w:lang w:val="en-ID"/>
        </w:rPr>
        <w:fldChar w:fldCharType="end"/>
      </w:r>
      <w:r w:rsidRPr="00C564F2">
        <w:rPr>
          <w:lang w:val="en-ID"/>
        </w:rPr>
        <w:t xml:space="preserve">; </w:t>
      </w:r>
      <w:r w:rsidRPr="00C564F2">
        <w:rPr>
          <w:lang w:val="en-ID"/>
        </w:rPr>
        <w:fldChar w:fldCharType="begin" w:fldLock="1"/>
      </w:r>
      <w:r w:rsidRPr="00C564F2">
        <w:rPr>
          <w:lang w:val="en-ID"/>
        </w:rPr>
        <w:instrText>ADDIN CSL_CITATION {"citationItems":[{"id":"ITEM-1","itemData":{"DOI":"10.1080/1331677X.2019.1627894","ISSN":"1331-677X","author":[{"dropping-particle":"","family":"Kjosevski","given":"Jordan","non-dropping-particle":"","parse-names":false,"suffix":""},{"dropping-particle":"","family":"Petkovski","given":"Mihail","non-dropping-particle":"","parse-names":false,"suffix":""},{"dropping-particle":"","family":"Naumovska","given":"Elena","non-dropping-particle":"","parse-names":false,"suffix":""}],"container-title":"Economic Research-Ekonomska IstraÅ¾ivanja","id":"ITEM-1","issue":"1","issued":{"date-parts":[["2019"]]},"page":"1185-1203","publisher":"Routledge","title":"Bank-specific and macroeconomic determinants of non-performing loans in the Republic of Macedonia : Comparative analysis of enterprise and household NPLs","type":"article-journal","volume":"32"},"uris":["http://www.mendeley.com/documents/?uuid=991c6eba-70ac-4367-a835-6db63b1e2580"]}],"mendeley":{"formattedCitation":"(Kjosevski et al., 2019)","manualFormatting":"Kjosevski et al., (2019)","plainTextFormattedCitation":"(Kjosevski et al., 2019)","previouslyFormattedCitation":"(Kjosevski et al., 2019)"},"properties":{"noteIndex":0},"schema":"https://github.com/citation-style-language/schema/raw/master/csl-citation.json"}</w:instrText>
      </w:r>
      <w:r w:rsidRPr="00C564F2">
        <w:rPr>
          <w:lang w:val="en-ID"/>
        </w:rPr>
        <w:fldChar w:fldCharType="separate"/>
      </w:r>
      <w:proofErr w:type="spellStart"/>
      <w:r w:rsidRPr="00C564F2">
        <w:rPr>
          <w:lang w:val="en-ID"/>
        </w:rPr>
        <w:t>Kjosevski</w:t>
      </w:r>
      <w:proofErr w:type="spellEnd"/>
      <w:r w:rsidRPr="00C564F2">
        <w:rPr>
          <w:lang w:val="en-ID"/>
        </w:rPr>
        <w:t xml:space="preserve"> et al., (2019)</w:t>
      </w:r>
      <w:r w:rsidRPr="00C564F2">
        <w:rPr>
          <w:lang w:val="en-ID"/>
        </w:rPr>
        <w:fldChar w:fldCharType="end"/>
      </w:r>
      <w:r w:rsidRPr="00C564F2">
        <w:rPr>
          <w:lang w:val="en-ID"/>
        </w:rPr>
        <w:t xml:space="preserve">; </w:t>
      </w:r>
      <w:r w:rsidRPr="00C564F2">
        <w:rPr>
          <w:lang w:val="en-ID"/>
        </w:rPr>
        <w:fldChar w:fldCharType="begin" w:fldLock="1"/>
      </w:r>
      <w:r w:rsidRPr="00C564F2">
        <w:rPr>
          <w:lang w:val="en-ID"/>
        </w:rPr>
        <w:instrText>ADDIN CSL_CITATION {"citationItems":[{"id":"ITEM-1","itemData":{"DOI":"10.1016/j.jbankfin.2011.10.012","author":[{"dropping-particle":"","family":"Louzis","given":"Dimitrios P","non-dropping-particle":"","parse-names":false,"suffix":""},{"dropping-particle":"","family":"Vouldis","given":"Angelos T","non-dropping-particle":"","parse-names":false,"suffix":""},{"dropping-particle":"","family":"Metaxas","given":"Vasilios L","non-dropping-particle":"","parse-names":false,"suffix":""}],"id":"ITEM-1","issued":{"date-parts":[["2012"]]},"page":"1012-1027","publisher":"Elsevier B.V.","title":"Macroeconomic and bank-specific determinants of non-performing loans in Greece : A comparative study of mortgage , business and consumer loan portfolios","type":"article-journal","volume":"36"},"uris":["http://www.mendeley.com/documents/?uuid=e2c7702d-a061-4b60-8875-55321b5c2413"]}],"mendeley":{"formattedCitation":"(Louzis et al., 2012)","manualFormatting":"Louzis et al., (2012)","plainTextFormattedCitation":"(Louzis et al., 2012)","previouslyFormattedCitation":"(Louzis et al., 2012)"},"properties":{"noteIndex":0},"schema":"https://github.com/citation-style-language/schema/raw/master/csl-citation.json"}</w:instrText>
      </w:r>
      <w:r w:rsidRPr="00C564F2">
        <w:rPr>
          <w:lang w:val="en-ID"/>
        </w:rPr>
        <w:fldChar w:fldCharType="separate"/>
      </w:r>
      <w:proofErr w:type="spellStart"/>
      <w:r w:rsidRPr="00C564F2">
        <w:rPr>
          <w:lang w:val="en-ID"/>
        </w:rPr>
        <w:t>Louzis</w:t>
      </w:r>
      <w:proofErr w:type="spellEnd"/>
      <w:r w:rsidRPr="00C564F2">
        <w:rPr>
          <w:lang w:val="en-ID"/>
        </w:rPr>
        <w:t xml:space="preserve"> et al., (2012)</w:t>
      </w:r>
      <w:r w:rsidRPr="00C564F2">
        <w:rPr>
          <w:lang w:val="en-ID"/>
        </w:rPr>
        <w:fldChar w:fldCharType="end"/>
      </w:r>
      <w:r w:rsidRPr="00C564F2">
        <w:rPr>
          <w:lang w:val="en-ID"/>
        </w:rPr>
        <w:t xml:space="preserve">; </w:t>
      </w:r>
      <w:r w:rsidRPr="00C564F2">
        <w:rPr>
          <w:lang w:val="en-ID"/>
        </w:rPr>
        <w:fldChar w:fldCharType="begin" w:fldLock="1"/>
      </w:r>
      <w:r w:rsidRPr="00C564F2">
        <w:rPr>
          <w:lang w:val="en-ID"/>
        </w:rPr>
        <w:instrText>ADDIN CSL_CITATION {"citationItems":[{"id":"ITEM-1","itemData":{"author":[{"dropping-particle":"","family":"EL-Maude","given":"Jibreel Gambo","non-dropping-particle":"","parse-names":false,"suffix":""},{"dropping-particle":"","family":"Abdul-Rahman","given":"Ahmad","non-dropping-particle":"","parse-names":false,"suffix":""},{"dropping-particle":"","family":"Ibrahim","given":"Muhammad","non-dropping-particle":"","parse-names":false,"suffix":""}],"id":"ITEM-1","issue":"1","issued":{"date-parts":[["2017"]]},"page":"74-88","title":"Determinants of Non - Performing Loans in Nigeria’s Deposit","type":"article-journal","volume":"5"},"uris":["http://www.mendeley.com/documents/?uuid=36c27f51-acc9-4d05-91b0-1691682d2640"]}],"mendeley":{"formattedCitation":"(EL-Maude et al., 2017)","manualFormatting":"EL-Maude et al., (2017)","plainTextFormattedCitation":"(EL-Maude et al., 2017)","previouslyFormattedCitation":"(EL-Maude et al., 2017)"},"properties":{"noteIndex":0},"schema":"https://github.com/citation-style-language/schema/raw/master/csl-citation.json"}</w:instrText>
      </w:r>
      <w:r w:rsidRPr="00C564F2">
        <w:rPr>
          <w:lang w:val="en-ID"/>
        </w:rPr>
        <w:fldChar w:fldCharType="separate"/>
      </w:r>
      <w:r w:rsidRPr="00C564F2">
        <w:rPr>
          <w:lang w:val="en-ID"/>
        </w:rPr>
        <w:t>EL-Maude et al., (2017)</w:t>
      </w:r>
      <w:r w:rsidRPr="00C564F2">
        <w:rPr>
          <w:lang w:val="en-ID"/>
        </w:rPr>
        <w:fldChar w:fldCharType="end"/>
      </w:r>
      <w:r w:rsidRPr="00C564F2">
        <w:rPr>
          <w:lang w:val="en-ID"/>
        </w:rPr>
        <w:t xml:space="preserve">; </w:t>
      </w:r>
      <w:r w:rsidRPr="00C564F2">
        <w:rPr>
          <w:lang w:val="en-ID"/>
        </w:rPr>
        <w:fldChar w:fldCharType="begin" w:fldLock="1"/>
      </w:r>
      <w:r w:rsidRPr="00C564F2">
        <w:rPr>
          <w:lang w:val="en-ID"/>
        </w:rPr>
        <w:instrText>ADDIN CSL_CITATION {"citationItems":[{"id":"ITEM-1","itemData":{"DOI":"10.1177/0972652719831546","ISBN":"0972652719831","author":[{"dropping-particle":"","family":"Bardhan","given":"Samaresh","non-dropping-particle":"","parse-names":false,"suffix":""},{"dropping-particle":"","family":"Sharma","given":"Rajesh","non-dropping-particle":"","parse-names":false,"suffix":""},{"dropping-particle":"","family":"Mukherjee","given":"Vivekananda","non-dropping-particle":"","parse-names":false,"suffix":""}],"id":"ITEM-1","issue":"1","issued":{"date-parts":[["2019"]]},"title":"Treshold of Bank-specific Non-performing Assets : An Application in Indian Banking","type":"article-journal","volume":"18"},"uris":["http://www.mendeley.com/documents/?uuid=97bd9900-9537-4c90-9b5a-ed7929d74d98"]}],"mendeley":{"formattedCitation":"(Bardhan et al., 2019)","manualFormatting":"Bardhan et al., (2019)","plainTextFormattedCitation":"(Bardhan et al., 2019)","previouslyFormattedCitation":"(Bardhan et al., 2019)"},"properties":{"noteIndex":0},"schema":"https://github.com/citation-style-language/schema/raw/master/csl-citation.json"}</w:instrText>
      </w:r>
      <w:r w:rsidRPr="00C564F2">
        <w:rPr>
          <w:lang w:val="en-ID"/>
        </w:rPr>
        <w:fldChar w:fldCharType="separate"/>
      </w:r>
      <w:proofErr w:type="spellStart"/>
      <w:r w:rsidRPr="00C564F2">
        <w:rPr>
          <w:lang w:val="en-ID"/>
        </w:rPr>
        <w:t>Bardhan</w:t>
      </w:r>
      <w:proofErr w:type="spellEnd"/>
      <w:r w:rsidRPr="00C564F2">
        <w:rPr>
          <w:lang w:val="en-ID"/>
        </w:rPr>
        <w:t xml:space="preserve"> et al., (2019)</w:t>
      </w:r>
      <w:r w:rsidRPr="00C564F2">
        <w:rPr>
          <w:lang w:val="en-ID"/>
        </w:rPr>
        <w:fldChar w:fldCharType="end"/>
      </w:r>
      <w:r w:rsidRPr="00C564F2">
        <w:rPr>
          <w:lang w:val="en-ID"/>
        </w:rPr>
        <w:t xml:space="preserve">; dan </w:t>
      </w:r>
      <w:r w:rsidRPr="00C564F2">
        <w:rPr>
          <w:lang w:val="en-ID"/>
        </w:rPr>
        <w:fldChar w:fldCharType="begin" w:fldLock="1"/>
      </w:r>
      <w:r w:rsidRPr="00C564F2">
        <w:rPr>
          <w:lang w:val="en-ID"/>
        </w:rPr>
        <w:instrText>ADDIN CSL_CITATION {"citationItems":[{"id":"ITEM-1","itemData":{"DOI":"10.1080/00036846.2019.1584377","ISSN":"0003-6846","author":[{"dropping-particle":"","family":"Rizvi","given":"Noor Ulain","non-dropping-particle":"","parse-names":false,"suffix":""},{"dropping-particle":"","family":"Kashiramka","given":"Smita","non-dropping-particle":"","parse-names":false,"suffix":""},{"dropping-particle":"","family":"Singh","given":"Shveta","non-dropping-particle":"","parse-names":false,"suffix":""}],"container-title":"Applied Economics","id":"ITEM-1","issue":"0","issued":{"date-parts":[["2019"]]},"page":"1-21","publisher":"Routledge","title":"A hierarchical model of the determinants of non- performing assets in banks : an ISM and MICMAC approach","type":"article-journal","volume":"0"},"uris":["http://www.mendeley.com/documents/?uuid=d27a6745-d826-4d27-9e0a-39ec6c081bed"]}],"mendeley":{"formattedCitation":"(Rizvi et al., 2019)","manualFormatting":"Rizvi et al., (2019)","plainTextFormattedCitation":"(Rizvi et al., 2019)","previouslyFormattedCitation":"(Rizvi et al., 2019)"},"properties":{"noteIndex":0},"schema":"https://github.com/citation-style-language/schema/raw/master/csl-citation.json"}</w:instrText>
      </w:r>
      <w:r w:rsidRPr="00C564F2">
        <w:rPr>
          <w:lang w:val="en-ID"/>
        </w:rPr>
        <w:fldChar w:fldCharType="separate"/>
      </w:r>
      <w:r w:rsidRPr="00C564F2">
        <w:rPr>
          <w:lang w:val="en-ID"/>
        </w:rPr>
        <w:t>Rizvi et al., (2019)</w:t>
      </w:r>
      <w:r w:rsidRPr="00C564F2">
        <w:rPr>
          <w:lang w:val="en-ID"/>
        </w:rPr>
        <w:fldChar w:fldCharType="end"/>
      </w:r>
      <w:r w:rsidRPr="00C564F2">
        <w:rPr>
          <w:lang w:val="en-ID"/>
        </w:rPr>
        <w:t xml:space="preserve">. </w:t>
      </w:r>
      <w:r w:rsidRPr="00C564F2">
        <w:t xml:space="preserve">In Islamic Banks as done by </w:t>
      </w:r>
      <w:r w:rsidRPr="00C564F2">
        <w:rPr>
          <w:lang w:val="en-ID"/>
        </w:rPr>
        <w:fldChar w:fldCharType="begin" w:fldLock="1"/>
      </w:r>
      <w:r w:rsidRPr="00C564F2">
        <w:rPr>
          <w:lang w:val="en-ID"/>
        </w:rPr>
        <w:instrText>ADDIN CSL_CITATION {"citationItems":[{"id":"ITEM-1","itemData":{"DOI":"https://doi.org/10.1016/j.pacfin.2015.06.001","author":[{"dropping-particle":"","family":"Kabir","given":"M. N.","non-dropping-particle":"","parse-names":false,"suffix":""},{"dropping-particle":"","family":"Worthington","given":"A.","non-dropping-particle":"","parse-names":false,"suffix":""},{"dropping-particle":"","family":"Gupta","given":"R.","non-dropping-particle":"","parse-names":false,"suffix":""}],"container-title":"Pacific Basin Finance Journal","id":"ITEM-1","issued":{"date-parts":[["2015"]]},"page":"327-353","title":"Comparative Credit Risk in Islamic and Conventional Bank","type":"article-journal","volume":"34"},"uris":["http://www.mendeley.com/documents/?uuid=9da49c37-3b08-4336-8496-724bd09a2bfc"]}],"mendeley":{"formattedCitation":"(Kabir et al., 2015)","manualFormatting":"Kabir et al., (2015)","plainTextFormattedCitation":"(Kabir et al., 2015)","previouslyFormattedCitation":"(Kabir et al., 2015)"},"properties":{"noteIndex":0},"schema":"https://github.com/citation-style-language/schema/raw/master/csl-citation.json"}</w:instrText>
      </w:r>
      <w:r w:rsidRPr="00C564F2">
        <w:rPr>
          <w:lang w:val="en-ID"/>
        </w:rPr>
        <w:fldChar w:fldCharType="separate"/>
      </w:r>
      <w:r w:rsidRPr="00C564F2">
        <w:rPr>
          <w:lang w:val="en-ID"/>
        </w:rPr>
        <w:t>Kabir et al., (2015)</w:t>
      </w:r>
      <w:r w:rsidRPr="00C564F2">
        <w:rPr>
          <w:lang w:val="en-ID"/>
        </w:rPr>
        <w:fldChar w:fldCharType="end"/>
      </w:r>
      <w:r w:rsidRPr="00C564F2">
        <w:rPr>
          <w:lang w:val="en-ID"/>
        </w:rPr>
        <w:t xml:space="preserve">; </w:t>
      </w:r>
      <w:r w:rsidRPr="00C564F2">
        <w:rPr>
          <w:lang w:val="en-ID"/>
        </w:rPr>
        <w:fldChar w:fldCharType="begin" w:fldLock="1"/>
      </w:r>
      <w:r w:rsidRPr="00C564F2">
        <w:rPr>
          <w:lang w:val="en-ID"/>
        </w:rPr>
        <w:instrText>ADDIN CSL_CITATION {"citationItems":[{"id":"ITEM-1","itemData":{"DOI":"10.18488/journal.8/2015.3.3/8.3.61.79","abstract":"This paper investigates the efficiency of Indonesian Islamic Banks by employing Data Envelopment Analysis (DEA) approach, the determinants of banks efficiency and non-performing financing (NPF). The authors further examine the inter-temporal relationships between bank efficiency and non-performing financing (NPF) of Indonesian Islamic Banks to test two hypotheses: „Bad Luck‟ and „Bad Management‟. The data covers the periods of January 2008 – September 2014 using quarterly-published report data from Central Bank (Bank Indonesia) with 4 Islamic banks as the sample of research. The bank efficiency is measured by data envelopment analysis (DEA) estimating overall technical efficiency (OTE), pure technical efficiency (PTE), and scale efficiency (SE). Panel Least Square for fixed effect model is used to find the determinants of efficiency and NPF. Panel-VAR model is used to test the two hypotheses „Bad Luck‟ and „Bad Management‟. The finding reveals that none of the Islamic banks consistently efficient for all periods of research by OTE, PTE, and SE. The overall results show that efficiency of Islamic Banks is affected significantly by return on assets (ROA), operational efficiency ratio (OER), and inflation rates (INF), while financing to deposit ratio (FDR), capital adequacy ratio (CAR), size, and GDP growth rate have insignificant effect on bank efficiency. Regarding the determinants of NPF, there are significant effects of size, operational efficiency ratio (OER), and GDP growth rate toward NPF, while return on assets (ROA), financing to deposit ratio (FDR), capital adequacy ratio (CAR), and inflation rate (INF) have insignificant effect on NPF. The research supports “Bad Management” hypothesis since it reveals that possibly because of poor financing portfolio management of Indonesian Islamic Banks in the period and sample of the research. ©","author":[{"dropping-particle":"","family":"Havidz","given":"Shinta Amalina Hazrati","non-dropping-particle":"","parse-names":false,"suffix":""},{"dropping-particle":"","family":"Setiawan","given":"Chandra","non-dropping-particle":"","parse-names":false,"suffix":""}],"container-title":"Asian Journal of Economics Modelling","id":"ITEM-1","issue":"3","issued":{"date-parts":[["2015"]]},"page":"61-79","title":"Bank Efficiency and Non-Performing Financing (NPF) In The Indonesian Islamic Banks","type":"article-journal","volume":"3"},"uris":["http://www.mendeley.com/documents/?uuid=c2f31427-7a0b-42e9-9082-30ce3ac89c7c"]}],"mendeley":{"formattedCitation":"(Havidz &amp; Setiawan, 2015)","manualFormatting":"Havidz &amp; Setiawan, (2015)","plainTextFormattedCitation":"(Havidz &amp; Setiawan, 2015)","previouslyFormattedCitation":"(Havidz &amp; Setiawan, 2015)"},"properties":{"noteIndex":0},"schema":"https://github.com/citation-style-language/schema/raw/master/csl-citation.json"}</w:instrText>
      </w:r>
      <w:r w:rsidRPr="00C564F2">
        <w:rPr>
          <w:lang w:val="en-ID"/>
        </w:rPr>
        <w:fldChar w:fldCharType="separate"/>
      </w:r>
      <w:proofErr w:type="spellStart"/>
      <w:r w:rsidRPr="00C564F2">
        <w:rPr>
          <w:lang w:val="en-ID"/>
        </w:rPr>
        <w:t>Havidz</w:t>
      </w:r>
      <w:proofErr w:type="spellEnd"/>
      <w:r w:rsidRPr="00C564F2">
        <w:rPr>
          <w:lang w:val="en-ID"/>
        </w:rPr>
        <w:t xml:space="preserve"> &amp; Setiawan, (2015)</w:t>
      </w:r>
      <w:r w:rsidRPr="00C564F2">
        <w:rPr>
          <w:lang w:val="en-ID"/>
        </w:rPr>
        <w:fldChar w:fldCharType="end"/>
      </w:r>
      <w:r w:rsidRPr="00C564F2">
        <w:rPr>
          <w:lang w:val="en-ID"/>
        </w:rPr>
        <w:t xml:space="preserve"> </w:t>
      </w:r>
      <w:r w:rsidRPr="00C564F2">
        <w:rPr>
          <w:lang w:val="en-ID"/>
        </w:rPr>
        <w:fldChar w:fldCharType="begin" w:fldLock="1"/>
      </w:r>
      <w:r w:rsidRPr="00C564F2">
        <w:rPr>
          <w:lang w:val="en-ID"/>
        </w:rPr>
        <w:instrText>ADDIN CSL_CITATION {"citationItems":[{"id":"ITEM-1","itemData":{"DOI":"10.18502/kss.v3i13.4223","author":[{"dropping-particle":"","family":"Wulandari","given":"Melianda Visca","non-dropping-particle":"","parse-names":false,"suffix":""},{"dropping-particle":"","family":"Suryana","given":"","non-dropping-particle":"","parse-names":false,"suffix":""},{"dropping-particle":"","family":"Utami","given":"Suci Aprilliani","non-dropping-particle":"","parse-names":false,"suffix":""}],"container-title":"The 2nd International Conference on Islamic Economics, Business, and Philanthropy (ICIEBP) Theme: “Sustainability and Socio Economic Growth","id":"ITEM-1","issued":{"date-parts":[["2019"]]},"page":"453-468","title":"Determinant of Non-performing Financing in Indonesia Islamic Bank","type":"paper-conference","volume":"2019"},"uris":["http://www.mendeley.com/documents/?uuid=d8f64494-1400-4675-86b6-9d0379cbf297"]}],"mendeley":{"formattedCitation":"(Wulandari et al., 2019)","manualFormatting":"Wulandari et al., (2019)","plainTextFormattedCitation":"(Wulandari et al., 2019)","previouslyFormattedCitation":"(Wulandari et al., 2019)"},"properties":{"noteIndex":0},"schema":"https://github.com/citation-style-language/schema/raw/master/csl-citation.json"}</w:instrText>
      </w:r>
      <w:r w:rsidRPr="00C564F2">
        <w:rPr>
          <w:lang w:val="en-ID"/>
        </w:rPr>
        <w:fldChar w:fldCharType="separate"/>
      </w:r>
      <w:proofErr w:type="spellStart"/>
      <w:r w:rsidRPr="00C564F2">
        <w:rPr>
          <w:lang w:val="en-ID"/>
        </w:rPr>
        <w:t>Wulandari</w:t>
      </w:r>
      <w:proofErr w:type="spellEnd"/>
      <w:r w:rsidRPr="00C564F2">
        <w:rPr>
          <w:lang w:val="en-ID"/>
        </w:rPr>
        <w:t xml:space="preserve"> et al., (2019)</w:t>
      </w:r>
      <w:r w:rsidRPr="00C564F2">
        <w:rPr>
          <w:lang w:val="en-ID"/>
        </w:rPr>
        <w:fldChar w:fldCharType="end"/>
      </w:r>
      <w:r w:rsidRPr="00C564F2">
        <w:rPr>
          <w:lang w:val="en-ID"/>
        </w:rPr>
        <w:t xml:space="preserve">; </w:t>
      </w:r>
      <w:r w:rsidRPr="00C564F2">
        <w:rPr>
          <w:lang w:val="en-ID"/>
        </w:rPr>
        <w:fldChar w:fldCharType="begin" w:fldLock="1"/>
      </w:r>
      <w:r w:rsidRPr="00C564F2">
        <w:rPr>
          <w:lang w:val="en-ID"/>
        </w:rPr>
        <w:instrText>ADDIN CSL_CITATION {"citationItems":[{"id":"ITEM-1","itemData":{"DOI":"10.20885/JEKI.vol6.iss1.art4","author":[{"dropping-particle":"","family":"Rahmah","given":"Anggia Zainur","non-dropping-particle":"","parse-names":false,"suffix":""},{"dropping-particle":"","family":"Armina","given":"Sheema Haseena","non-dropping-particle":"","parse-names":false,"suffix":""}],"container-title":"Jurnal Ekonomi &amp; Keuangan Islam","id":"ITEM-1","issue":"1","issued":{"date-parts":[["2020"]]},"page":"34-41","title":"Macro and micro determinants of the non-performing finance: The case of Indonesian Islamic bank","type":"article-journal","volume":"6"},"uris":["http://www.mendeley.com/documents/?uuid=7b9dd31c-17c9-4c97-90b8-55db466912fe"]}],"mendeley":{"formattedCitation":"(Rahmah &amp; Armina, 2020)","manualFormatting":"Rahmah &amp; Armina, (2020)","plainTextFormattedCitation":"(Rahmah &amp; Armina, 2020)","previouslyFormattedCitation":"(Rahmah &amp; Armina, 2020)"},"properties":{"noteIndex":0},"schema":"https://github.com/citation-style-language/schema/raw/master/csl-citation.json"}</w:instrText>
      </w:r>
      <w:r w:rsidRPr="00C564F2">
        <w:rPr>
          <w:lang w:val="en-ID"/>
        </w:rPr>
        <w:fldChar w:fldCharType="separate"/>
      </w:r>
      <w:proofErr w:type="spellStart"/>
      <w:r w:rsidRPr="00C564F2">
        <w:rPr>
          <w:lang w:val="en-ID"/>
        </w:rPr>
        <w:t>Rahmah</w:t>
      </w:r>
      <w:proofErr w:type="spellEnd"/>
      <w:r w:rsidRPr="00C564F2">
        <w:rPr>
          <w:lang w:val="en-ID"/>
        </w:rPr>
        <w:t xml:space="preserve"> &amp; Armina, (2020)</w:t>
      </w:r>
      <w:r w:rsidRPr="00C564F2">
        <w:rPr>
          <w:lang w:val="en-ID"/>
        </w:rPr>
        <w:fldChar w:fldCharType="end"/>
      </w:r>
      <w:r w:rsidRPr="00C564F2">
        <w:rPr>
          <w:lang w:val="en-ID"/>
        </w:rPr>
        <w:t xml:space="preserve"> </w:t>
      </w:r>
      <w:r w:rsidRPr="00C564F2">
        <w:rPr>
          <w:lang w:val="en-ID"/>
        </w:rPr>
        <w:fldChar w:fldCharType="begin" w:fldLock="1"/>
      </w:r>
      <w:r w:rsidRPr="00C564F2">
        <w:rPr>
          <w:lang w:val="en-ID"/>
        </w:rPr>
        <w:instrText>ADDIN CSL_CITATION {"citationItems":[{"id":"ITEM-1","itemData":{"DOI":"10.13106/jafeb.2020.vol7.no9.305","author":[{"dropping-particle":"","family":"Widarjono","given":"Agus","non-dropping-particle":"","parse-names":false,"suffix":""},{"dropping-particle":"","family":"Anto","given":"M B Hendrie","non-dropping-particle":"","parse-names":false,"suffix":""},{"dropping-particle":"","family":"Fakhrunnas","given":"Faaza","non-dropping-particle":"","parse-names":false,"suffix":""}],"id":"ITEM-1","issue":"9","issued":{"date-parts":[["2020"]]},"page":"305-314","title":"Financing Risk in Indonesian Islamic Rural Banks : Do Financing Products Matter ?*","type":"article-journal","volume":"7"},"uris":["http://www.mendeley.com/documents/?uuid=3e0285a8-3ffd-4550-864e-e7b8538e5062"]}],"mendeley":{"formattedCitation":"(Widarjono et al., 2020)","manualFormatting":"Widarjono et al., (2020)","plainTextFormattedCitation":"(Widarjono et al., 2020)","previouslyFormattedCitation":"(Widarjono et al., 2020)"},"properties":{"noteIndex":0},"schema":"https://github.com/citation-style-language/schema/raw/master/csl-citation.json"}</w:instrText>
      </w:r>
      <w:r w:rsidRPr="00C564F2">
        <w:rPr>
          <w:lang w:val="en-ID"/>
        </w:rPr>
        <w:fldChar w:fldCharType="separate"/>
      </w:r>
      <w:proofErr w:type="spellStart"/>
      <w:r w:rsidRPr="00C564F2">
        <w:rPr>
          <w:lang w:val="en-ID"/>
        </w:rPr>
        <w:t>Widarjono</w:t>
      </w:r>
      <w:proofErr w:type="spellEnd"/>
      <w:r w:rsidRPr="00C564F2">
        <w:rPr>
          <w:lang w:val="en-ID"/>
        </w:rPr>
        <w:t xml:space="preserve"> et al., (2020)</w:t>
      </w:r>
      <w:r w:rsidRPr="00C564F2">
        <w:rPr>
          <w:lang w:val="en-ID"/>
        </w:rPr>
        <w:fldChar w:fldCharType="end"/>
      </w:r>
      <w:r w:rsidRPr="00C564F2">
        <w:rPr>
          <w:lang w:val="en-ID"/>
        </w:rPr>
        <w:t xml:space="preserve">; and </w:t>
      </w:r>
      <w:r w:rsidRPr="00C564F2">
        <w:rPr>
          <w:lang w:val="en-ID"/>
        </w:rPr>
        <w:fldChar w:fldCharType="begin" w:fldLock="1"/>
      </w:r>
      <w:r w:rsidRPr="00C564F2">
        <w:rPr>
          <w:lang w:val="en-ID"/>
        </w:rPr>
        <w:instrText>ADDIN CSL_CITATION {"citationItems":[{"id":"ITEM-1","itemData":{"author":[{"dropping-particle":"","family":"Widarjono","given":"Agus","non-dropping-particle":"","parse-names":false,"suffix":""},{"dropping-particle":"","family":"Rudatin","given":"Ari","non-dropping-particle":"","parse-names":false,"suffix":""}],"container-title":"Global of Islamic Economics and Business","id":"ITEM-1","issue":"1","issued":{"date-parts":[["2021"]]},"page":"29-41","title":"The Determinants of Indonesian Islamic Rural Banks' Non-Performing Financing","type":"article-journal","volume":"9"},"uris":["http://www.mendeley.com/documents/?uuid=97413041-aa94-487f-8d40-c42d18a3aea5"]}],"mendeley":{"formattedCitation":"(Widarjono &amp; Rudatin, 2021)","manualFormatting":"Widarjono &amp; Rudatin, (2021)","plainTextFormattedCitation":"(Widarjono &amp; Rudatin, 2021)","previouslyFormattedCitation":"(Widarjono &amp; Rudatin, 2021)"},"properties":{"noteIndex":0},"schema":"https://github.com/citation-style-language/schema/raw/master/csl-citation.json"}</w:instrText>
      </w:r>
      <w:r w:rsidRPr="00C564F2">
        <w:rPr>
          <w:lang w:val="en-ID"/>
        </w:rPr>
        <w:fldChar w:fldCharType="separate"/>
      </w:r>
      <w:proofErr w:type="spellStart"/>
      <w:r w:rsidRPr="00C564F2">
        <w:rPr>
          <w:lang w:val="en-ID"/>
        </w:rPr>
        <w:t>Widarjono</w:t>
      </w:r>
      <w:proofErr w:type="spellEnd"/>
      <w:r w:rsidRPr="00C564F2">
        <w:rPr>
          <w:lang w:val="en-ID"/>
        </w:rPr>
        <w:t xml:space="preserve"> &amp; </w:t>
      </w:r>
      <w:proofErr w:type="spellStart"/>
      <w:r w:rsidRPr="00C564F2">
        <w:rPr>
          <w:lang w:val="en-ID"/>
        </w:rPr>
        <w:t>Rudatin</w:t>
      </w:r>
      <w:proofErr w:type="spellEnd"/>
      <w:r w:rsidRPr="00C564F2">
        <w:rPr>
          <w:lang w:val="en-ID"/>
        </w:rPr>
        <w:t>, (2021)</w:t>
      </w:r>
      <w:r w:rsidRPr="00C564F2">
        <w:rPr>
          <w:lang w:val="en-ID"/>
        </w:rPr>
        <w:fldChar w:fldCharType="end"/>
      </w:r>
      <w:r w:rsidRPr="00C564F2">
        <w:rPr>
          <w:lang w:val="en-ID"/>
        </w:rPr>
        <w:t xml:space="preserve">. </w:t>
      </w:r>
      <w:r w:rsidRPr="00C564F2">
        <w:t xml:space="preserve">This study </w:t>
      </w:r>
      <w:proofErr w:type="gramStart"/>
      <w:r w:rsidRPr="00C564F2">
        <w:rPr>
          <w:lang w:val="id-ID"/>
        </w:rPr>
        <w:t>utilize</w:t>
      </w:r>
      <w:proofErr w:type="gramEnd"/>
      <w:r w:rsidRPr="00C564F2">
        <w:rPr>
          <w:lang w:val="id-ID"/>
        </w:rPr>
        <w:t xml:space="preserve"> the</w:t>
      </w:r>
      <w:r w:rsidRPr="00C564F2">
        <w:t xml:space="preserve"> internal bank and macroeconomics </w:t>
      </w:r>
      <w:r w:rsidRPr="00C564F2">
        <w:rPr>
          <w:lang w:val="id-ID"/>
        </w:rPr>
        <w:t xml:space="preserve">as the factors </w:t>
      </w:r>
      <w:r w:rsidRPr="00C564F2">
        <w:t>that affect credit or non-performing financing.</w:t>
      </w:r>
    </w:p>
    <w:p w14:paraId="73718764" w14:textId="77777777" w:rsidR="00AF630F" w:rsidRPr="00C564F2" w:rsidRDefault="00AF630F" w:rsidP="00AF630F">
      <w:pPr>
        <w:ind w:firstLine="720"/>
        <w:jc w:val="both"/>
      </w:pPr>
      <w:r w:rsidRPr="00C564F2">
        <w:t xml:space="preserve">The research above </w:t>
      </w:r>
      <w:proofErr w:type="gramStart"/>
      <w:r w:rsidRPr="00C564F2">
        <w:t>show</w:t>
      </w:r>
      <w:proofErr w:type="gramEnd"/>
      <w:r w:rsidRPr="00C564F2">
        <w:t xml:space="preserve"> the different results related to the factors that influence credit or non-performing financing both at conventional banks and Islamic banks. Therefore, this study will re-examine the factors that influence the non-performing financing, especially in Islamic Rural Banks (</w:t>
      </w:r>
      <w:r>
        <w:t>IRB</w:t>
      </w:r>
      <w:r w:rsidRPr="00C564F2">
        <w:t xml:space="preserve">) in Indonesia. Unlike the previous </w:t>
      </w:r>
      <w:proofErr w:type="spellStart"/>
      <w:r w:rsidRPr="00C564F2">
        <w:t>researchs</w:t>
      </w:r>
      <w:proofErr w:type="spellEnd"/>
      <w:r w:rsidRPr="00C564F2">
        <w:t xml:space="preserve"> above, the novelty of this study is</w:t>
      </w:r>
      <w:r w:rsidRPr="00C564F2">
        <w:rPr>
          <w:lang w:val="id-ID"/>
        </w:rPr>
        <w:t xml:space="preserve"> </w:t>
      </w:r>
      <w:r w:rsidRPr="00C564F2">
        <w:t xml:space="preserve">the data involved is </w:t>
      </w:r>
      <w:r w:rsidRPr="00C564F2">
        <w:rPr>
          <w:lang w:val="id-ID"/>
        </w:rPr>
        <w:t xml:space="preserve">recently </w:t>
      </w:r>
      <w:r w:rsidRPr="00C564F2">
        <w:t xml:space="preserve">published </w:t>
      </w:r>
      <w:r w:rsidRPr="00C564F2">
        <w:rPr>
          <w:lang w:val="id-ID"/>
        </w:rPr>
        <w:t xml:space="preserve">data of </w:t>
      </w:r>
      <w:r>
        <w:t>IRB</w:t>
      </w:r>
      <w:r w:rsidRPr="00C564F2">
        <w:t xml:space="preserve"> and Macroeconomics during the COVID-19 pandemic.</w:t>
      </w:r>
    </w:p>
    <w:p w14:paraId="5DB70905" w14:textId="77777777" w:rsidR="00AF630F" w:rsidRPr="00736C2E" w:rsidRDefault="00AF630F" w:rsidP="00AF630F">
      <w:pPr>
        <w:pStyle w:val="BodyText"/>
        <w:spacing w:after="0" w:line="216" w:lineRule="auto"/>
        <w:ind w:left="426"/>
        <w:jc w:val="both"/>
        <w:rPr>
          <w:rFonts w:ascii="Centaur" w:hAnsi="Centaur"/>
          <w:b/>
          <w:bCs/>
          <w:sz w:val="28"/>
          <w:szCs w:val="28"/>
          <w:lang w:val="it-IT"/>
        </w:rPr>
      </w:pPr>
    </w:p>
    <w:p w14:paraId="2843BB1F" w14:textId="77777777" w:rsidR="00E94CAD" w:rsidRPr="00736C2E" w:rsidRDefault="00E94CAD" w:rsidP="008B2542">
      <w:pPr>
        <w:pStyle w:val="BodyText"/>
        <w:spacing w:after="0" w:line="216" w:lineRule="auto"/>
        <w:ind w:left="426" w:hanging="426"/>
        <w:jc w:val="both"/>
        <w:rPr>
          <w:rFonts w:ascii="Centaur" w:hAnsi="Centaur"/>
          <w:sz w:val="28"/>
          <w:szCs w:val="28"/>
          <w:lang w:val="sv-SE"/>
        </w:rPr>
      </w:pPr>
    </w:p>
    <w:p w14:paraId="496E6316" w14:textId="77777777" w:rsidR="00B06972" w:rsidRPr="00736C2E" w:rsidRDefault="00B06972" w:rsidP="008B2542">
      <w:pPr>
        <w:pStyle w:val="BodyText"/>
        <w:spacing w:after="0" w:line="216" w:lineRule="auto"/>
        <w:ind w:left="426" w:hanging="426"/>
        <w:jc w:val="both"/>
        <w:rPr>
          <w:rFonts w:ascii="Centaur" w:hAnsi="Centaur"/>
          <w:b/>
          <w:bCs/>
          <w:sz w:val="28"/>
          <w:szCs w:val="28"/>
          <w:lang w:val="it-IT"/>
        </w:rPr>
      </w:pPr>
      <w:r w:rsidRPr="00736C2E">
        <w:rPr>
          <w:rFonts w:ascii="Centaur" w:hAnsi="Centaur"/>
          <w:b/>
          <w:bCs/>
          <w:sz w:val="28"/>
          <w:szCs w:val="28"/>
          <w:lang w:val="id-ID"/>
        </w:rPr>
        <w:t xml:space="preserve">B. </w:t>
      </w:r>
      <w:r w:rsidRPr="00736C2E">
        <w:rPr>
          <w:rFonts w:ascii="Centaur" w:hAnsi="Centaur"/>
          <w:b/>
          <w:bCs/>
          <w:sz w:val="28"/>
          <w:szCs w:val="28"/>
          <w:lang w:val="id-ID"/>
        </w:rPr>
        <w:tab/>
      </w:r>
      <w:r w:rsidRPr="00736C2E">
        <w:rPr>
          <w:rFonts w:ascii="Centaur" w:hAnsi="Centaur"/>
          <w:b/>
          <w:bCs/>
          <w:sz w:val="28"/>
          <w:szCs w:val="28"/>
        </w:rPr>
        <w:t>THEORITICAL</w:t>
      </w:r>
    </w:p>
    <w:p w14:paraId="0F663CDE" w14:textId="77777777" w:rsidR="00AF630F" w:rsidRPr="00C564F2" w:rsidRDefault="00AF630F" w:rsidP="00AF630F">
      <w:pPr>
        <w:ind w:firstLine="720"/>
        <w:jc w:val="both"/>
        <w:rPr>
          <w:lang w:val="en-ID"/>
        </w:rPr>
      </w:pPr>
      <w:r w:rsidRPr="00C564F2">
        <w:rPr>
          <w:lang w:val="en-ID"/>
        </w:rPr>
        <w:t xml:space="preserve">Assets can have a negative or positive effect </w:t>
      </w:r>
      <w:r w:rsidRPr="00C564F2">
        <w:rPr>
          <w:lang w:val="en-ID"/>
        </w:rPr>
        <w:fldChar w:fldCharType="begin" w:fldLock="1"/>
      </w:r>
      <w:r w:rsidRPr="00C564F2">
        <w:rPr>
          <w:lang w:val="en-ID"/>
        </w:rPr>
        <w:instrText>ADDIN CSL_CITATION {"citationItems":[{"id":"ITEM-1","itemData":{"author":[{"dropping-particle":"","family":"Widarjono","given":"Agus","non-dropping-particle":"","parse-names":false,"suffix":""},{"dropping-particle":"","family":"Rudatin","given":"Ari","non-dropping-particle":"","parse-names":false,"suffix":""}],"container-title":"Global of Islamic Economics and Business","id":"ITEM-1","issue":"1","issued":{"date-parts":[["2021"]]},"page":"29-41","title":"The Determinants of Indonesian Islamic Rural Banks' Non-Performing Financing","type":"article-journal","volume":"9"},"uris":["http://www.mendeley.com/documents/?uuid=97413041-aa94-487f-8d40-c42d18a3aea5"]},{"id":"ITEM-2","itemData":{"DOI":"10.13106/jafeb.2020.vol7.no9.305","author":[{"dropping-particle":"","family":"Widarjono","given":"Agus","non-dropping-particle":"","parse-names":false,"suffix":""},{"dropping-particle":"","family":"Anto","given":"M B Hendrie","non-dropping-particle":"","parse-names":false,"suffix":""},{"dropping-particle":"","family":"Fakhrunnas","given":"Faaza","non-dropping-particle":"","parse-names":false,"suffix":""}],"id":"ITEM-2","issue":"9","issued":{"date-parts":[["2020"]]},"page":"305-314","title":"Financing Risk in Indonesian Islamic Rural Banks : Do Financing Products Matter ?*","type":"article-journal","volume":"7"},"uris":["http://www.mendeley.com/documents/?uuid=3e0285a8-3ffd-4550-864e-e7b8538e5062"]}],"mendeley":{"formattedCitation":"(Widarjono et al., 2020; Widarjono &amp; Rudatin, 2021)","plainTextFormattedCitation":"(Widarjono et al., 2020; Widarjono &amp; Rudatin, 2021)","previouslyFormattedCitation":"(Widarjono et al., 2020; Widarjono &amp; Rudatin, 2021)"},"properties":{"noteIndex":0},"schema":"https://github.com/citation-style-language/schema/raw/master/csl-citation.json"}</w:instrText>
      </w:r>
      <w:r w:rsidRPr="00C564F2">
        <w:rPr>
          <w:lang w:val="en-ID"/>
        </w:rPr>
        <w:fldChar w:fldCharType="separate"/>
      </w:r>
      <w:r w:rsidRPr="00C564F2">
        <w:rPr>
          <w:lang w:val="en-ID"/>
        </w:rPr>
        <w:t>(</w:t>
      </w:r>
      <w:proofErr w:type="spellStart"/>
      <w:r w:rsidRPr="00C564F2">
        <w:rPr>
          <w:lang w:val="en-ID"/>
        </w:rPr>
        <w:t>Widarjono</w:t>
      </w:r>
      <w:proofErr w:type="spellEnd"/>
      <w:r w:rsidRPr="00C564F2">
        <w:rPr>
          <w:lang w:val="en-ID"/>
        </w:rPr>
        <w:t xml:space="preserve"> et al., 2020; </w:t>
      </w:r>
      <w:proofErr w:type="spellStart"/>
      <w:r w:rsidRPr="00C564F2">
        <w:rPr>
          <w:lang w:val="en-ID"/>
        </w:rPr>
        <w:t>Widarjono</w:t>
      </w:r>
      <w:proofErr w:type="spellEnd"/>
      <w:r w:rsidRPr="00C564F2">
        <w:rPr>
          <w:lang w:val="en-ID"/>
        </w:rPr>
        <w:t xml:space="preserve"> &amp; </w:t>
      </w:r>
      <w:proofErr w:type="spellStart"/>
      <w:r w:rsidRPr="00C564F2">
        <w:rPr>
          <w:lang w:val="en-ID"/>
        </w:rPr>
        <w:t>Rudatin</w:t>
      </w:r>
      <w:proofErr w:type="spellEnd"/>
      <w:r w:rsidRPr="00C564F2">
        <w:rPr>
          <w:lang w:val="en-ID"/>
        </w:rPr>
        <w:t>, 2021)</w:t>
      </w:r>
      <w:r w:rsidRPr="00C564F2">
        <w:rPr>
          <w:lang w:val="en-ID"/>
        </w:rPr>
        <w:fldChar w:fldCharType="end"/>
      </w:r>
      <w:r w:rsidRPr="00C564F2">
        <w:rPr>
          <w:lang w:val="en-ID"/>
        </w:rPr>
        <w:t xml:space="preserve">. Diversification of financing and economies of scale in large banks reduce financing risk </w:t>
      </w:r>
      <w:r w:rsidRPr="00C564F2">
        <w:rPr>
          <w:lang w:val="en-ID"/>
        </w:rPr>
        <w:fldChar w:fldCharType="begin" w:fldLock="1"/>
      </w:r>
      <w:r w:rsidRPr="00C564F2">
        <w:rPr>
          <w:lang w:val="en-ID"/>
        </w:rPr>
        <w:instrText>ADDIN CSL_CITATION {"citationItems":[{"id":"ITEM-1","itemData":{"author":[{"dropping-particle":"","family":"Abedifar","given":"P.","non-dropping-particle":"","parse-names":false,"suffix":""},{"dropping-particle":"","family":"Molyneux","given":"P.","non-dropping-particle":"","parse-names":false,"suffix":""},{"dropping-particle":"","family":"Tarazi","given":"A.","non-dropping-particle":"","parse-names":false,"suffix":""}],"container-title":"Review of Finance","id":"ITEM-1","issue":"6","issued":{"date-parts":[["2013"]]},"page":"2035– 2096","title":"Risk in islamic banking","type":"article-journal","volume":"17"},"uris":["http://www.mendeley.com/documents/?uuid=c0b991c6-0077-484a-8a15-c22bcdd6eea2"]}],"mendeley":{"formattedCitation":"(Abedifar et al., 2013)","plainTextFormattedCitation":"(Abedifar et al., 2013)","previouslyFormattedCitation":"(Abedifar et al., 2013)"},"properties":{"noteIndex":0},"schema":"https://github.com/citation-style-language/schema/raw/master/csl-citation.json"}</w:instrText>
      </w:r>
      <w:r w:rsidRPr="00C564F2">
        <w:rPr>
          <w:lang w:val="en-ID"/>
        </w:rPr>
        <w:fldChar w:fldCharType="separate"/>
      </w:r>
      <w:r w:rsidRPr="00C564F2">
        <w:rPr>
          <w:lang w:val="en-ID"/>
        </w:rPr>
        <w:t>(</w:t>
      </w:r>
      <w:proofErr w:type="spellStart"/>
      <w:r w:rsidRPr="00C564F2">
        <w:rPr>
          <w:lang w:val="en-ID"/>
        </w:rPr>
        <w:t>Abedifar</w:t>
      </w:r>
      <w:proofErr w:type="spellEnd"/>
      <w:r w:rsidRPr="00C564F2">
        <w:rPr>
          <w:lang w:val="en-ID"/>
        </w:rPr>
        <w:t xml:space="preserve"> et al., 2013)</w:t>
      </w:r>
      <w:r w:rsidRPr="00C564F2">
        <w:rPr>
          <w:lang w:val="en-ID"/>
        </w:rPr>
        <w:fldChar w:fldCharType="end"/>
      </w:r>
      <w:r w:rsidRPr="00C564F2">
        <w:rPr>
          <w:lang w:val="en-ID"/>
        </w:rPr>
        <w:t xml:space="preserve">. Large banks tend to be able to handle their financing risk compared to small banks </w:t>
      </w:r>
      <w:r w:rsidRPr="00C564F2">
        <w:rPr>
          <w:lang w:val="en-ID"/>
        </w:rPr>
        <w:fldChar w:fldCharType="begin" w:fldLock="1"/>
      </w:r>
      <w:r w:rsidRPr="00C564F2">
        <w:rPr>
          <w:lang w:val="en-ID"/>
        </w:rPr>
        <w:instrText>ADDIN CSL_CITATION {"citationItems":[{"id":"ITEM-1","itemData":{"author":[{"dropping-particle":"","family":"Mirzaei","given":"A.","non-dropping-particle":"","parse-names":false,"suffix":""},{"dropping-particle":"","family":"Moore","given":"T.","non-dropping-particle":"","parse-names":false,"suffix":""},{"dropping-particle":"","family":"Liu","given":"G.","non-dropping-particle":"","parse-names":false,"suffix":""}],"container-title":"Journal of Banking and Finance","id":"ITEM-1","issue":"8","issued":{"date-parts":[["2013"]]},"page":"2920-2937","title":"Does market structure matter on banks’ profitability and stability? Emerging vs. advanced economies","type":"article-journal","volume":"37"},"uris":["http://www.mendeley.com/documents/?uuid=fb81a9bb-69ba-438e-8476-a63722c7b105"]}],"mendeley":{"formattedCitation":"(Mirzaei et al., 2013)","plainTextFormattedCitation":"(Mirzaei et al., 2013)","previouslyFormattedCitation":"(Mirzaei et al., 2013)"},"properties":{"noteIndex":0},"schema":"https://github.com/citation-style-language/schema/raw/master/csl-citation.json"}</w:instrText>
      </w:r>
      <w:r w:rsidRPr="00C564F2">
        <w:rPr>
          <w:lang w:val="en-ID"/>
        </w:rPr>
        <w:fldChar w:fldCharType="separate"/>
      </w:r>
      <w:r w:rsidRPr="00C564F2">
        <w:rPr>
          <w:lang w:val="en-ID"/>
        </w:rPr>
        <w:t>(Mirzaei et al., 2013)</w:t>
      </w:r>
      <w:r w:rsidRPr="00C564F2">
        <w:rPr>
          <w:lang w:val="en-ID"/>
        </w:rPr>
        <w:fldChar w:fldCharType="end"/>
      </w:r>
      <w:r w:rsidRPr="00C564F2">
        <w:rPr>
          <w:lang w:val="en-ID"/>
        </w:rPr>
        <w:t xml:space="preserve">. Bank size also affects financing risk in times of crisis </w:t>
      </w:r>
      <w:r w:rsidRPr="00C564F2">
        <w:rPr>
          <w:lang w:val="en-ID"/>
        </w:rPr>
        <w:fldChar w:fldCharType="begin" w:fldLock="1"/>
      </w:r>
      <w:r w:rsidRPr="00C564F2">
        <w:rPr>
          <w:lang w:val="en-ID"/>
        </w:rPr>
        <w:instrText>ADDIN CSL_CITATION {"citationItems":[{"id":"ITEM-1","itemData":{"DOI":"10.1080/1540496X.2018.1547877","ISSN":"1540-496X","author":[{"dropping-particle":"","family":"Kuzucu","given":"Narman","non-dropping-particle":"","parse-names":false,"suffix":""},{"dropping-particle":"","family":"Kuzucu","given":"Serpil","non-dropping-particle":"","parse-names":false,"suffix":""},{"dropping-particle":"","family":"Kuzucu","given":"Narman","non-dropping-particle":"","parse-names":false,"suffix":""}],"container-title":"Emerging Markets Finance and Trade","id":"ITEM-1","issue":"00","issued":{"date-parts":[["2019"]]},"page":"1-15","publisher":"Routledge","title":"What Drives Non-Performing Loans ? Evidence from Emerging and Advanced Economies during Pre- and Post-Global Financial Crisis What Drives Non-Performing Loans ? Evidence from Emerging and Advanced Economies during Pre- and Post-Global Financial Crisis","type":"article-journal","volume":"00"},"uris":["http://www.mendeley.com/documents/?uuid=f502d765-c146-468b-b84b-f2b923548f29"]}],"mendeley":{"formattedCitation":"(Kuzucu et al., 2019)","plainTextFormattedCitation":"(Kuzucu et al., 2019)","previouslyFormattedCitation":"(Kuzucu et al., 2019)"},"properties":{"noteIndex":0},"schema":"https://github.com/citation-style-language/schema/raw/master/csl-citation.json"}</w:instrText>
      </w:r>
      <w:r w:rsidRPr="00C564F2">
        <w:rPr>
          <w:lang w:val="en-ID"/>
        </w:rPr>
        <w:fldChar w:fldCharType="separate"/>
      </w:r>
      <w:r w:rsidRPr="00C564F2">
        <w:rPr>
          <w:lang w:val="en-ID"/>
        </w:rPr>
        <w:t>(</w:t>
      </w:r>
      <w:proofErr w:type="spellStart"/>
      <w:r w:rsidRPr="00C564F2">
        <w:rPr>
          <w:lang w:val="en-ID"/>
        </w:rPr>
        <w:t>Kuzucu</w:t>
      </w:r>
      <w:proofErr w:type="spellEnd"/>
      <w:r w:rsidRPr="00C564F2">
        <w:rPr>
          <w:lang w:val="en-ID"/>
        </w:rPr>
        <w:t xml:space="preserve"> et al., 2019)</w:t>
      </w:r>
      <w:r w:rsidRPr="00C564F2">
        <w:rPr>
          <w:lang w:val="en-ID"/>
        </w:rPr>
        <w:fldChar w:fldCharType="end"/>
      </w:r>
      <w:r w:rsidRPr="00C564F2">
        <w:rPr>
          <w:lang w:val="en-ID"/>
        </w:rPr>
        <w:t>.</w:t>
      </w:r>
    </w:p>
    <w:p w14:paraId="6039D31C" w14:textId="77777777" w:rsidR="00AF630F" w:rsidRPr="00C564F2" w:rsidRDefault="00AF630F" w:rsidP="00AF630F">
      <w:pPr>
        <w:ind w:firstLine="720"/>
        <w:jc w:val="both"/>
        <w:rPr>
          <w:lang w:val="en-ID"/>
        </w:rPr>
      </w:pPr>
      <w:r w:rsidRPr="00C564F2">
        <w:rPr>
          <w:lang w:val="en-ID"/>
        </w:rPr>
        <w:t xml:space="preserve">The financing to deposit ratio (FDR) is the ratio between the amount of funds disbursed in the form of financing and the amount of funds and </w:t>
      </w:r>
      <w:r w:rsidRPr="00C564F2">
        <w:rPr>
          <w:lang w:val="id-ID"/>
        </w:rPr>
        <w:t>utilized equity</w:t>
      </w:r>
      <w:r w:rsidRPr="00C564F2">
        <w:rPr>
          <w:lang w:val="en-ID"/>
        </w:rPr>
        <w:t xml:space="preserve"> </w:t>
      </w:r>
      <w:r w:rsidRPr="00C564F2">
        <w:rPr>
          <w:lang w:val="en-ID"/>
        </w:rPr>
        <w:fldChar w:fldCharType="begin" w:fldLock="1"/>
      </w:r>
      <w:r w:rsidRPr="00C564F2">
        <w:rPr>
          <w:lang w:val="en-ID"/>
        </w:rPr>
        <w:instrText>ADDIN CSL_CITATION {"citationItems":[{"id":"ITEM-1","itemData":{"DOI":"10.54045/mutanaqishah.v1i1.306","abstract":"This study aims to examine the effect of Inflation Variables, CAR, NPF, Murabahah Financing, Mudharabah Financing, and Musyarakah Financing on the Profitability of Sharia BPRs in Indonesia. This study uses time series data from 2016-2020. The data is processed using the Error Correction Model (ECM). This study concludes that Murabahah Financing Variables have a significant influence and other variables, namely Inflation, CAR, NPF, Mudharabah Financing and Musyarakah Financing have no effect on the Profitability of Sharia BPRs in Indonesia. Thus, the type of financing affects the profitability of Sharia BPR in Indonesia","author":[{"dropping-particle":"","family":"Chitra Yuliashri Katili","given":"","non-dropping-particle":"","parse-names":false,"suffix":""},{"dropping-particle":"","family":"Rifadli D. Kadir","given":"","non-dropping-particle":"","parse-names":false,"suffix":""}],"container-title":"Mutanaqishah : Journal of Islamic Banking","id":"ITEM-1","issue":"1","issued":{"date-parts":[["2021"]]},"page":"31-38","title":"Profitability of Islamic Microfinance in Indonesia: Does the Type of Financing Matter?","type":"article-journal","volume":"1"},"uris":["http://www.mendeley.com/documents/?uuid=5e5b6154-7bbc-4494-aa37-3d919a507fb8"]}],"mendeley":{"formattedCitation":"(Chitra Yuliashri Katili &amp; Rifadli D. Kadir, 2021)","manualFormatting":"(Chitra &amp; Kadir, 2021)","plainTextFormattedCitation":"(Chitra Yuliashri Katili &amp; Rifadli D. Kadir, 2021)","previouslyFormattedCitation":"(Chitra Yuliashri Katili &amp; Rifadli D. Kadir, 2021)"},"properties":{"noteIndex":0},"schema":"https://github.com/citation-style-language/schema/raw/master/csl-citation.json"}</w:instrText>
      </w:r>
      <w:r w:rsidRPr="00C564F2">
        <w:rPr>
          <w:lang w:val="en-ID"/>
        </w:rPr>
        <w:fldChar w:fldCharType="separate"/>
      </w:r>
      <w:r w:rsidRPr="00C564F2">
        <w:rPr>
          <w:lang w:val="en-ID"/>
        </w:rPr>
        <w:t>(Chitra &amp; Kadir, 2021)</w:t>
      </w:r>
      <w:r w:rsidRPr="00C564F2">
        <w:rPr>
          <w:lang w:val="en-ID"/>
        </w:rPr>
        <w:fldChar w:fldCharType="end"/>
      </w:r>
      <w:r w:rsidRPr="00C564F2">
        <w:rPr>
          <w:lang w:val="en-ID"/>
        </w:rPr>
        <w:t xml:space="preserve">. FDR has a positive effect on NPF </w:t>
      </w:r>
      <w:r w:rsidRPr="00C564F2">
        <w:rPr>
          <w:lang w:val="en-ID"/>
        </w:rPr>
        <w:fldChar w:fldCharType="begin" w:fldLock="1"/>
      </w:r>
      <w:r w:rsidRPr="00C564F2">
        <w:rPr>
          <w:lang w:val="en-ID"/>
        </w:rPr>
        <w:instrText>ADDIN CSL_CITATION {"citationItems":[{"id":"ITEM-1","itemData":{"ISBN":"9788578110796","ISSN":"1098-6596","PMID":"25246403","author":[{"dropping-particle":"","family":"R.D.Kadir","given":"","non-dropping-particle":"","parse-names":false,"suffix":""}],"container-title":"Jurnal Nisbah","id":"ITEM-1","issue":"02","issued":{"date-parts":[["2019"]]},"page":"100-105","title":"Estimasi Janga Pendek dan Jangka Panjang Risiko Pembiayaan BPRS di Indonesia","type":"article-journal","volume":"05"},"uris":["http://www.mendeley.com/documents/?uuid=877a7cba-cea3-4c0b-a917-4dc432cb2846"]},{"id":"ITEM-2","itemData":{"author":[{"dropping-particle":"","family":"Solihatun","given":"","non-dropping-particle":"","parse-names":false,"suffix":""}],"container-title":"Junal Ekonomi Pembanangunan","id":"ITEM-2","issue":"1","issued":{"date-parts":[["1994"]]},"title":"Analisis Non Performing Financing (NPF) Bank Umum Syariah di Indonesia tahun 2007-2012","type":"article-journal","volume":"12"},"uris":["http://www.mendeley.com/documents/?uuid=848b18ca-9a39-412d-b88c-d5412a81cd30"]}],"mendeley":{"formattedCitation":"(R.D.Kadir, 2019; Solihatun, 1994)","plainTextFormattedCitation":"(R.D.Kadir, 2019; Solihatun, 1994)","previouslyFormattedCitation":"(R.D.Kadir, 2019; Solihatun, 1994)"},"properties":{"noteIndex":0},"schema":"https://github.com/citation-style-language/schema/raw/master/csl-citation.json"}</w:instrText>
      </w:r>
      <w:r w:rsidRPr="00C564F2">
        <w:rPr>
          <w:lang w:val="en-ID"/>
        </w:rPr>
        <w:fldChar w:fldCharType="separate"/>
      </w:r>
      <w:r w:rsidRPr="00C564F2">
        <w:rPr>
          <w:lang w:val="en-ID"/>
        </w:rPr>
        <w:t>(</w:t>
      </w:r>
      <w:proofErr w:type="spellStart"/>
      <w:r w:rsidRPr="00C564F2">
        <w:rPr>
          <w:lang w:val="en-ID"/>
        </w:rPr>
        <w:t>R.D.Kadir</w:t>
      </w:r>
      <w:proofErr w:type="spellEnd"/>
      <w:r w:rsidRPr="00C564F2">
        <w:rPr>
          <w:lang w:val="en-ID"/>
        </w:rPr>
        <w:t xml:space="preserve">, 2019; </w:t>
      </w:r>
      <w:proofErr w:type="spellStart"/>
      <w:r w:rsidRPr="00C564F2">
        <w:rPr>
          <w:lang w:val="en-ID"/>
        </w:rPr>
        <w:t>Solihatun</w:t>
      </w:r>
      <w:proofErr w:type="spellEnd"/>
      <w:r w:rsidRPr="00C564F2">
        <w:rPr>
          <w:lang w:val="en-ID"/>
        </w:rPr>
        <w:t>, 1994)</w:t>
      </w:r>
      <w:r w:rsidRPr="00C564F2">
        <w:rPr>
          <w:lang w:val="en-ID"/>
        </w:rPr>
        <w:fldChar w:fldCharType="end"/>
      </w:r>
      <w:r w:rsidRPr="00C564F2">
        <w:rPr>
          <w:lang w:val="en-ID"/>
        </w:rPr>
        <w:t xml:space="preserve">. </w:t>
      </w:r>
    </w:p>
    <w:p w14:paraId="2564B76F" w14:textId="77777777" w:rsidR="00AF630F" w:rsidRPr="00C564F2" w:rsidRDefault="00AF630F" w:rsidP="00AF630F">
      <w:pPr>
        <w:jc w:val="both"/>
        <w:rPr>
          <w:lang w:val="en-ID"/>
        </w:rPr>
      </w:pPr>
      <w:r>
        <w:rPr>
          <w:lang w:val="en-ID"/>
        </w:rPr>
        <w:t>O</w:t>
      </w:r>
      <w:r w:rsidRPr="00844BBA">
        <w:rPr>
          <w:lang w:val="en-ID"/>
        </w:rPr>
        <w:t>perational efficiency ratio (OER)</w:t>
      </w:r>
      <w:r>
        <w:rPr>
          <w:lang w:val="en-ID"/>
        </w:rPr>
        <w:t xml:space="preserve"> </w:t>
      </w:r>
      <w:r w:rsidRPr="00C564F2">
        <w:rPr>
          <w:lang w:val="en-ID"/>
        </w:rPr>
        <w:t xml:space="preserve">measures the level of efficiency in the use of funds in banks </w:t>
      </w:r>
      <w:r w:rsidRPr="00C564F2">
        <w:rPr>
          <w:lang w:val="en-ID"/>
        </w:rPr>
        <w:fldChar w:fldCharType="begin" w:fldLock="1"/>
      </w:r>
      <w:r w:rsidRPr="00C564F2">
        <w:rPr>
          <w:lang w:val="en-ID"/>
        </w:rPr>
        <w:instrText>ADDIN CSL_CITATION {"citationItems":[{"id":"ITEM-1","itemData":{"DOI":"10.13106/jafeb.2020.vol7.no9.305","author":[{"dropping-particle":"","family":"Widarjono","given":"Agus","non-dropping-particle":"","parse-names":false,"suffix":""},{"dropping-particle":"","family":"Anto","given":"M B Hendrie","non-dropping-particle":"","parse-names":false,"suffix":""},{"dropping-particle":"","family":"Fakhrunnas","given":"Faaza","non-dropping-particle":"","parse-names":false,"suffix":""}],"id":"ITEM-1","issue":"9","issued":{"date-parts":[["2020"]]},"page":"305-314","title":"Financing Risk in Indonesian Islamic Rural Banks : Do Financing Products Matter ?*","type":"article-journal","volume":"7"},"uris":["http://www.mendeley.com/documents/?uuid=3e0285a8-3ffd-4550-864e-e7b8538e5062"]}],"mendeley":{"formattedCitation":"(Widarjono et al., 2020)","plainTextFormattedCitation":"(Widarjono et al., 2020)","previouslyFormattedCitation":"(Widarjono et al., 2020)"},"properties":{"noteIndex":0},"schema":"https://github.com/citation-style-language/schema/raw/master/csl-citation.json"}</w:instrText>
      </w:r>
      <w:r w:rsidRPr="00C564F2">
        <w:rPr>
          <w:lang w:val="en-ID"/>
        </w:rPr>
        <w:fldChar w:fldCharType="separate"/>
      </w:r>
      <w:r w:rsidRPr="00C564F2">
        <w:rPr>
          <w:lang w:val="en-ID"/>
        </w:rPr>
        <w:t>(</w:t>
      </w:r>
      <w:proofErr w:type="spellStart"/>
      <w:r w:rsidRPr="00C564F2">
        <w:rPr>
          <w:lang w:val="en-ID"/>
        </w:rPr>
        <w:t>Widarjono</w:t>
      </w:r>
      <w:proofErr w:type="spellEnd"/>
      <w:r w:rsidRPr="00C564F2">
        <w:rPr>
          <w:lang w:val="en-ID"/>
        </w:rPr>
        <w:t xml:space="preserve"> et al., 2020)</w:t>
      </w:r>
      <w:r w:rsidRPr="00C564F2">
        <w:rPr>
          <w:lang w:val="en-ID"/>
        </w:rPr>
        <w:fldChar w:fldCharType="end"/>
      </w:r>
      <w:r w:rsidRPr="00C564F2">
        <w:rPr>
          <w:lang w:val="en-ID"/>
        </w:rPr>
        <w:t>. A high BOPO ratio reduce</w:t>
      </w:r>
      <w:r w:rsidRPr="00C564F2">
        <w:rPr>
          <w:lang w:val="id-ID"/>
        </w:rPr>
        <w:t>s</w:t>
      </w:r>
      <w:r w:rsidRPr="00C564F2">
        <w:rPr>
          <w:lang w:val="en-ID"/>
        </w:rPr>
        <w:t xml:space="preserve"> bank efficiency</w:t>
      </w:r>
      <w:r w:rsidRPr="00C564F2">
        <w:rPr>
          <w:lang w:val="id-ID"/>
        </w:rPr>
        <w:t>, thus</w:t>
      </w:r>
      <w:r w:rsidRPr="00C564F2">
        <w:rPr>
          <w:lang w:val="en-ID"/>
        </w:rPr>
        <w:t xml:space="preserve"> it does not bring profits to the bank </w:t>
      </w:r>
      <w:r w:rsidRPr="00C564F2">
        <w:rPr>
          <w:lang w:val="en-ID"/>
        </w:rPr>
        <w:fldChar w:fldCharType="begin" w:fldLock="1"/>
      </w:r>
      <w:r w:rsidRPr="00C564F2">
        <w:rPr>
          <w:lang w:val="en-ID"/>
        </w:rPr>
        <w:instrText>ADDIN CSL_CITATION {"citationItems":[{"id":"ITEM-1","itemData":{"author":[{"dropping-particle":"","family":"Firmansyah","given":"Irman","non-dropping-particle":"","parse-names":false,"suffix":""}],"container-title":"Buletin Ekonomi Moneter dan Perbankan","id":"ITEM-1","issue":"2","issued":{"date-parts":[["2014"]]},"title":"Determinant of Non Performing Loan: The Case of Islamic Bank In Indonesia","type":"article-journal","volume":"17"},"uris":["http://www.mendeley.com/documents/?uuid=70ce4719-850f-4be0-a39f-c501091ae91d"]}],"mendeley":{"formattedCitation":"(Firmansyah, 2014)","plainTextFormattedCitation":"(Firmansyah, 2014)","previouslyFormattedCitation":"(Firmansyah, 2014)"},"properties":{"noteIndex":0},"schema":"https://github.com/citation-style-language/schema/raw/master/csl-citation.json"}</w:instrText>
      </w:r>
      <w:r w:rsidRPr="00C564F2">
        <w:rPr>
          <w:lang w:val="en-ID"/>
        </w:rPr>
        <w:fldChar w:fldCharType="separate"/>
      </w:r>
      <w:r w:rsidRPr="00C564F2">
        <w:rPr>
          <w:lang w:val="en-ID"/>
        </w:rPr>
        <w:t>(</w:t>
      </w:r>
      <w:proofErr w:type="spellStart"/>
      <w:r w:rsidRPr="00C564F2">
        <w:rPr>
          <w:lang w:val="en-ID"/>
        </w:rPr>
        <w:t>Firmansyah</w:t>
      </w:r>
      <w:proofErr w:type="spellEnd"/>
      <w:r w:rsidRPr="00C564F2">
        <w:rPr>
          <w:lang w:val="en-ID"/>
        </w:rPr>
        <w:t>, 2014)</w:t>
      </w:r>
      <w:r w:rsidRPr="00C564F2">
        <w:rPr>
          <w:lang w:val="en-ID"/>
        </w:rPr>
        <w:fldChar w:fldCharType="end"/>
      </w:r>
      <w:r w:rsidRPr="00C564F2">
        <w:rPr>
          <w:lang w:val="en-ID"/>
        </w:rPr>
        <w:t xml:space="preserve">. OER has a positive effect on NPF </w:t>
      </w:r>
      <w:r w:rsidRPr="00C564F2">
        <w:rPr>
          <w:lang w:val="en-ID"/>
        </w:rPr>
        <w:fldChar w:fldCharType="begin" w:fldLock="1"/>
      </w:r>
      <w:r w:rsidRPr="00C564F2">
        <w:rPr>
          <w:lang w:val="en-ID"/>
        </w:rPr>
        <w:instrText>ADDIN CSL_CITATION {"citationItems":[{"id":"ITEM-1","itemData":{"author":[{"dropping-particle":"","family":"Hughes","given":"J. P.","non-dropping-particle":"","parse-names":false,"suffix":""},{"dropping-particle":"","family":"Mester","given":"L. J.","non-dropping-particle":"","parse-names":false,"suffix":""}],"container-title":"Journal of Productivity Analysis","id":"ITEM-1","issued":{"date-parts":[["1993"]]},"page":"293-315","title":"A Quality and Risk-adjusted Cost Function for Banks: Evidence on the ‘Too-Big-to-Fail’ Doctrine","type":"article-journal","volume":"4"},"uris":["http://www.mendeley.com/documents/?uuid=011fc01a-9f04-41e2-8e99-5b9d9177b970"]},{"id":"ITEM-2","itemData":{"author":[{"dropping-particle":"","family":"Girardone","given":"C.","non-dropping-particle":"","parse-names":false,"suffix":""},{"dropping-particle":"","family":"Molyneux","given":"P.","non-dropping-particle":"","parse-names":false,"suffix":""},{"dropping-particle":"","family":"Gardener","given":"E. P.","non-dropping-particle":"","parse-names":false,"suffix":""}],"container-title":"Applied Economics","id":"ITEM-2","issue":"36","issued":{"date-parts":[["2004"]]},"page":"215-227","title":"Analysing the Determinants of Bank Efficiency: The Case of Italian Banks","type":"article-journal","volume":"36"},"uris":["http://www.mendeley.com/documents/?uuid=cae56031-ea19-44d1-b57b-75fa99fec463"]}],"mendeley":{"formattedCitation":"(Girardone et al., 2004; Hughes &amp; Mester, 1993)","plainTextFormattedCitation":"(Girardone et al., 2004; Hughes &amp; Mester, 1993)","previouslyFormattedCitation":"(Girardone et al., 2004; Hughes &amp; Mester, 1993)"},"properties":{"noteIndex":0},"schema":"https://github.com/citation-style-language/schema/raw/master/csl-citation.json"}</w:instrText>
      </w:r>
      <w:r w:rsidRPr="00C564F2">
        <w:rPr>
          <w:lang w:val="en-ID"/>
        </w:rPr>
        <w:fldChar w:fldCharType="separate"/>
      </w:r>
      <w:r w:rsidRPr="00C564F2">
        <w:rPr>
          <w:lang w:val="en-ID"/>
        </w:rPr>
        <w:t>(</w:t>
      </w:r>
      <w:proofErr w:type="spellStart"/>
      <w:r w:rsidRPr="00C564F2">
        <w:rPr>
          <w:lang w:val="en-ID"/>
        </w:rPr>
        <w:t>Girardone</w:t>
      </w:r>
      <w:proofErr w:type="spellEnd"/>
      <w:r w:rsidRPr="00C564F2">
        <w:rPr>
          <w:lang w:val="en-ID"/>
        </w:rPr>
        <w:t xml:space="preserve"> et al., 2004; Hughes &amp; Mester, 1993)</w:t>
      </w:r>
      <w:r w:rsidRPr="00C564F2">
        <w:rPr>
          <w:lang w:val="en-ID"/>
        </w:rPr>
        <w:fldChar w:fldCharType="end"/>
      </w:r>
      <w:r w:rsidRPr="00C564F2">
        <w:rPr>
          <w:lang w:val="en-ID"/>
        </w:rPr>
        <w:t>.</w:t>
      </w:r>
    </w:p>
    <w:p w14:paraId="23DDE422" w14:textId="2E0A8171" w:rsidR="00AF630F" w:rsidRPr="00C564F2" w:rsidRDefault="00AF630F" w:rsidP="00AF630F">
      <w:pPr>
        <w:ind w:firstLine="720"/>
        <w:jc w:val="both"/>
        <w:rPr>
          <w:lang w:val="en-ID"/>
        </w:rPr>
      </w:pPr>
      <w:r w:rsidRPr="00C564F2">
        <w:rPr>
          <w:lang w:val="id-ID"/>
        </w:rPr>
        <w:t>E</w:t>
      </w:r>
      <w:proofErr w:type="spellStart"/>
      <w:r w:rsidRPr="00C564F2">
        <w:rPr>
          <w:lang w:val="en-ID"/>
        </w:rPr>
        <w:t>conomic</w:t>
      </w:r>
      <w:proofErr w:type="spellEnd"/>
      <w:r w:rsidRPr="00C564F2">
        <w:rPr>
          <w:lang w:val="en-ID"/>
        </w:rPr>
        <w:t xml:space="preserve"> growth</w:t>
      </w:r>
      <w:r w:rsidRPr="00C564F2">
        <w:rPr>
          <w:lang w:val="id-ID"/>
        </w:rPr>
        <w:t>, measured by G</w:t>
      </w:r>
      <w:r>
        <w:t>R</w:t>
      </w:r>
      <w:r w:rsidRPr="00C564F2">
        <w:rPr>
          <w:lang w:val="id-ID"/>
        </w:rPr>
        <w:t xml:space="preserve">DP, </w:t>
      </w:r>
      <w:r w:rsidRPr="00C564F2">
        <w:rPr>
          <w:lang w:val="en-ID"/>
        </w:rPr>
        <w:t xml:space="preserve">has an effect on financing risk during a crisis </w:t>
      </w:r>
      <w:r w:rsidRPr="00C564F2">
        <w:rPr>
          <w:lang w:val="en-ID"/>
        </w:rPr>
        <w:fldChar w:fldCharType="begin" w:fldLock="1"/>
      </w:r>
      <w:r w:rsidRPr="00C564F2">
        <w:rPr>
          <w:lang w:val="en-ID"/>
        </w:rPr>
        <w:instrText>ADDIN CSL_CITATION {"citationItems":[{"id":"ITEM-1","itemData":{"DOI":"10.1080/1540496X.2018.1547877","ISSN":"1540-496X","author":[{"dropping-particle":"","family":"Kuzucu","given":"Narman","non-dropping-particle":"","parse-names":false,"suffix":""},{"dropping-particle":"","family":"Kuzucu","given":"Serpil","non-dropping-particle":"","parse-names":false,"suffix":""},{"dropping-particle":"","family":"Kuzucu","given":"Narman","non-dropping-particle":"","parse-names":false,"suffix":""}],"container-title":"Emerging Markets Finance and Trade","id":"ITEM-1","issue":"00","issued":{"date-parts":[["2019"]]},"page":"1-15","publisher":"Routledge","title":"What Drives Non-Performing Loans ? Evidence from Emerging and Advanced Economies during Pre- and Post-Global Financial Crisis What Drives Non-Performing Loans ? Evidence from Emerging and Advanced Economies during Pre- and Post-Global Financial Crisis","type":"article-journal","volume":"00"},"uris":["http://www.mendeley.com/documents/?uuid=f502d765-c146-468b-b84b-f2b923548f29"]}],"mendeley":{"formattedCitation":"(Kuzucu et al., 2019)","plainTextFormattedCitation":"(Kuzucu et al., 2019)","previouslyFormattedCitation":"(Kuzucu et al., 2019)"},"properties":{"noteIndex":0},"schema":"https://github.com/citation-style-language/schema/raw/master/csl-citation.json"}</w:instrText>
      </w:r>
      <w:r w:rsidRPr="00C564F2">
        <w:rPr>
          <w:lang w:val="en-ID"/>
        </w:rPr>
        <w:fldChar w:fldCharType="separate"/>
      </w:r>
      <w:r w:rsidRPr="00C564F2">
        <w:rPr>
          <w:lang w:val="en-ID"/>
        </w:rPr>
        <w:t>(</w:t>
      </w:r>
      <w:proofErr w:type="spellStart"/>
      <w:r w:rsidRPr="00C564F2">
        <w:rPr>
          <w:lang w:val="en-ID"/>
        </w:rPr>
        <w:t>Kuzucu</w:t>
      </w:r>
      <w:proofErr w:type="spellEnd"/>
      <w:r w:rsidRPr="00C564F2">
        <w:rPr>
          <w:lang w:val="en-ID"/>
        </w:rPr>
        <w:t xml:space="preserve"> et al., 2019)</w:t>
      </w:r>
      <w:r w:rsidRPr="00C564F2">
        <w:rPr>
          <w:lang w:val="en-ID"/>
        </w:rPr>
        <w:fldChar w:fldCharType="end"/>
      </w:r>
      <w:r w:rsidRPr="00C564F2">
        <w:rPr>
          <w:lang w:val="en-ID"/>
        </w:rPr>
        <w:t xml:space="preserve">. </w:t>
      </w:r>
      <w:r w:rsidRPr="00C564F2">
        <w:rPr>
          <w:lang w:val="id-ID"/>
        </w:rPr>
        <w:t>T</w:t>
      </w:r>
      <w:r w:rsidRPr="00C564F2">
        <w:rPr>
          <w:lang w:val="en-ID"/>
        </w:rPr>
        <w:t xml:space="preserve">his study </w:t>
      </w:r>
      <w:proofErr w:type="spellStart"/>
      <w:r w:rsidRPr="00C564F2">
        <w:rPr>
          <w:lang w:val="en-ID"/>
        </w:rPr>
        <w:t>usi</w:t>
      </w:r>
      <w:proofErr w:type="spellEnd"/>
      <w:r w:rsidRPr="00C564F2">
        <w:rPr>
          <w:lang w:val="id-ID"/>
        </w:rPr>
        <w:t>ng the Provincial G</w:t>
      </w:r>
      <w:r>
        <w:t>R</w:t>
      </w:r>
      <w:r w:rsidRPr="00C564F2">
        <w:rPr>
          <w:lang w:val="id-ID"/>
        </w:rPr>
        <w:t>DP to value the economic growth</w:t>
      </w:r>
      <w:r w:rsidRPr="00C564F2">
        <w:rPr>
          <w:lang w:val="en-ID"/>
        </w:rPr>
        <w:t xml:space="preserve">. </w:t>
      </w:r>
      <w:proofErr w:type="spellStart"/>
      <w:r w:rsidRPr="00C564F2">
        <w:rPr>
          <w:lang w:val="en-ID"/>
        </w:rPr>
        <w:t>Widarjono</w:t>
      </w:r>
      <w:proofErr w:type="spellEnd"/>
      <w:r w:rsidRPr="00C564F2">
        <w:rPr>
          <w:lang w:val="en-ID"/>
        </w:rPr>
        <w:t xml:space="preserve"> et al. (2020) explains that there are differences in the factors that affect the NPF of Sharia BPRs on the island of Java and outside Java due to economic growth (GRDP). GRDP is assumed to have a negative effect on NPF </w:t>
      </w:r>
      <w:r w:rsidRPr="00C564F2">
        <w:rPr>
          <w:lang w:val="en-ID"/>
        </w:rPr>
        <w:lastRenderedPageBreak/>
        <w:fldChar w:fldCharType="begin" w:fldLock="1"/>
      </w:r>
      <w:r w:rsidRPr="00C564F2">
        <w:rPr>
          <w:lang w:val="en-ID"/>
        </w:rPr>
        <w:instrText>ADDIN CSL_CITATION {"citationItems":[{"id":"ITEM-1","itemData":{"DOI":"10.1080/1540496X.2018.1547877","ISSN":"1540-496X","author":[{"dropping-particle":"","family":"Kuzucu","given":"Narman","non-dropping-particle":"","parse-names":false,"suffix":""},{"dropping-particle":"","family":"Kuzucu","given":"Serpil","non-dropping-particle":"","parse-names":false,"suffix":""},{"dropping-particle":"","family":"Kuzucu","given":"Narman","non-dropping-particle":"","parse-names":false,"suffix":""}],"container-title":"Emerging Markets Finance and Trade","id":"ITEM-1","issue":"00","issued":{"date-parts":[["2019"]]},"page":"1-15","publisher":"Routledge","title":"What Drives Non-Performing Loans ? Evidence from Emerging and Advanced Economies during Pre- and Post-Global Financial Crisis What Drives Non-Performing Loans ? Evidence from Emerging and Advanced Economies during Pre- and Post-Global Financial Crisis","type":"article-journal","volume":"00"},"uris":["http://www.mendeley.com/documents/?uuid=f502d765-c146-468b-b84b-f2b923548f29"]},{"id":"ITEM-2","itemData":{"author":[{"dropping-particle":"","family":"Firmansyah","given":"Irman","non-dropping-particle":"","parse-names":false,"suffix":""}],"container-title":"Buletin Ekonomi Moneter dan Perbankan","id":"ITEM-2","issue":"2","issued":{"date-parts":[["2014"]]},"title":"Determinant of Non Performing Loan: The Case of Islamic Bank In Indonesia","type":"article-journal","volume":"17"},"uris":["http://www.mendeley.com/documents/?uuid=70ce4719-850f-4be0-a39f-c501091ae91d"]},{"id":"ITEM-3","itemData":{"author":[{"dropping-particle":"","family":"Prasanna","given":"P. Krishna","non-dropping-particle":"","parse-names":false,"suffix":""},{"dropping-particle":"","family":"Thenmozhi","given":"M.","non-dropping-particle":"","parse-names":false,"suffix":""},{"dropping-particle":"","family":"Nimit","given":"Rana","non-dropping-particle":"","parse-names":false,"suffix":""}],"container-title":"Banks and Bank Systems","id":"ITEM-3","issue":"2","issued":{"date-parts":[["2014"]]},"page":"65-77","title":"Determinants of non-performing advances in Indian banking system","type":"article-journal","volume":"9"},"uris":["http://www.mendeley.com/documents/?uuid=6b06a8f2-8ef1-41bb-a7ea-a8b2950833aa"]},{"id":"ITEM-4","itemData":{"author":[{"dropping-particle":"","family":"Badar","given":"Munib","non-dropping-particle":"","parse-names":false,"suffix":""},{"dropping-particle":"","family":"Javid","given":"Atiya Yasmin","non-dropping-particle":"","parse-names":false,"suffix":""}],"container-title":"WSEAS TRANSACTIONS on BUSINESS and ECONOMICS","id":"ITEM-4","issue":"1","issued":{"date-parts":[["2013"]]},"page":"40-48","title":"Impact of Macroeconomic Forces on Nonperforming Loans : An Empirical Study of Commercial Banks in Pakistan","type":"article-journal","volume":"10"},"uris":["http://www.mendeley.com/documents/?uuid=702ca522-d8d8-4f40-bfa1-d399812ac6a5"]},{"id":"ITEM-5","itemData":{"DOI":"10.1016/j.jfs.2015.08.004","ISSN":"1572-3089","author":[{"dropping-particle":"","family":"Ghosh","given":"Amit","non-dropping-particle":"","parse-names":false,"suffix":""}],"container-title":"Journal of Financial Stability","id":"ITEM-5","issued":{"date-parts":[["2015"]]},"publisher":"Elsevier B.V.","title":"Banking-industry specific and regional economic determinants of Non-Performing Loans: Evidence from US States","type":"article-journal"},"uris":["http://www.mendeley.com/documents/?uuid=c87ac336-0cf5-4e4b-88ef-a796c0f94fc4"]}],"mendeley":{"formattedCitation":"(Badar &amp; Javid, 2013; Firmansyah, 2014; Ghosh, 2015; Kuzucu et al., 2019; Prasanna et al., 2014)","plainTextFormattedCitation":"(Badar &amp; Javid, 2013; Firmansyah, 2014; Ghosh, 2015; Kuzucu et al., 2019; Prasanna et al., 2014)","previouslyFormattedCitation":"(Badar &amp; Javid, 2013; Firmansyah, 2014; Ghosh, 2015; Kuzucu et al., 2019; Prasanna et al., 2014)"},"properties":{"noteIndex":0},"schema":"https://github.com/citation-style-language/schema/raw/master/csl-citation.json"}</w:instrText>
      </w:r>
      <w:r w:rsidRPr="00C564F2">
        <w:rPr>
          <w:lang w:val="en-ID"/>
        </w:rPr>
        <w:fldChar w:fldCharType="separate"/>
      </w:r>
      <w:r w:rsidRPr="00C564F2">
        <w:rPr>
          <w:lang w:val="en-ID"/>
        </w:rPr>
        <w:t>(</w:t>
      </w:r>
      <w:proofErr w:type="spellStart"/>
      <w:r w:rsidRPr="00C564F2">
        <w:rPr>
          <w:lang w:val="en-ID"/>
        </w:rPr>
        <w:t>Badar</w:t>
      </w:r>
      <w:proofErr w:type="spellEnd"/>
      <w:r w:rsidRPr="00C564F2">
        <w:rPr>
          <w:lang w:val="en-ID"/>
        </w:rPr>
        <w:t xml:space="preserve"> &amp; Javid, 2013; </w:t>
      </w:r>
      <w:proofErr w:type="spellStart"/>
      <w:r w:rsidRPr="00C564F2">
        <w:rPr>
          <w:lang w:val="en-ID"/>
        </w:rPr>
        <w:t>Firmansyah</w:t>
      </w:r>
      <w:proofErr w:type="spellEnd"/>
      <w:r w:rsidRPr="00C564F2">
        <w:rPr>
          <w:lang w:val="en-ID"/>
        </w:rPr>
        <w:t xml:space="preserve">, 2014; Ghosh, 2015; </w:t>
      </w:r>
      <w:proofErr w:type="spellStart"/>
      <w:r w:rsidRPr="00C564F2">
        <w:rPr>
          <w:lang w:val="en-ID"/>
        </w:rPr>
        <w:t>Kuzucu</w:t>
      </w:r>
      <w:proofErr w:type="spellEnd"/>
      <w:r w:rsidRPr="00C564F2">
        <w:rPr>
          <w:lang w:val="en-ID"/>
        </w:rPr>
        <w:t xml:space="preserve"> et al., 2019; Prasanna et al., 2014)</w:t>
      </w:r>
      <w:r w:rsidRPr="00C564F2">
        <w:rPr>
          <w:lang w:val="en-ID"/>
        </w:rPr>
        <w:fldChar w:fldCharType="end"/>
      </w:r>
      <w:r w:rsidRPr="00C564F2">
        <w:rPr>
          <w:lang w:val="en-ID"/>
        </w:rPr>
        <w:t>.</w:t>
      </w:r>
    </w:p>
    <w:p w14:paraId="1285B8C8" w14:textId="77777777" w:rsidR="00AF630F" w:rsidRPr="00C564F2" w:rsidRDefault="00AF630F" w:rsidP="00AF630F">
      <w:pPr>
        <w:jc w:val="center"/>
        <w:rPr>
          <w:b/>
          <w:bCs/>
          <w:lang w:val="en-ID"/>
        </w:rPr>
      </w:pPr>
    </w:p>
    <w:p w14:paraId="2F0E8EA0" w14:textId="77777777" w:rsidR="00AF630F" w:rsidRPr="00C564F2" w:rsidRDefault="00AF630F" w:rsidP="00AF630F">
      <w:pPr>
        <w:jc w:val="center"/>
        <w:rPr>
          <w:b/>
          <w:bCs/>
          <w:lang w:val="en-ID"/>
        </w:rPr>
      </w:pPr>
      <w:proofErr w:type="spellStart"/>
      <w:r w:rsidRPr="00C564F2">
        <w:rPr>
          <w:b/>
          <w:bCs/>
          <w:lang w:val="en-ID"/>
        </w:rPr>
        <w:t>Tabel</w:t>
      </w:r>
      <w:proofErr w:type="spellEnd"/>
      <w:r w:rsidRPr="00C564F2">
        <w:rPr>
          <w:b/>
          <w:bCs/>
          <w:lang w:val="en-ID"/>
        </w:rPr>
        <w:t xml:space="preserve"> 1. </w:t>
      </w:r>
      <w:proofErr w:type="spellStart"/>
      <w:r w:rsidRPr="00C564F2">
        <w:rPr>
          <w:b/>
          <w:bCs/>
          <w:lang w:val="en-ID"/>
        </w:rPr>
        <w:t>Variabel</w:t>
      </w:r>
      <w:proofErr w:type="spellEnd"/>
      <w:r w:rsidRPr="00C564F2">
        <w:rPr>
          <w:b/>
          <w:bCs/>
          <w:lang w:val="en-ID"/>
        </w:rPr>
        <w:t xml:space="preserve"> </w:t>
      </w:r>
      <w:r w:rsidRPr="00C564F2">
        <w:rPr>
          <w:b/>
          <w:bCs/>
          <w:lang w:val="id-ID"/>
        </w:rPr>
        <w:t>Description and</w:t>
      </w:r>
      <w:r w:rsidRPr="00C564F2">
        <w:rPr>
          <w:b/>
          <w:bCs/>
          <w:lang w:val="en-ID"/>
        </w:rPr>
        <w:t xml:space="preserve"> H</w:t>
      </w:r>
      <w:r w:rsidRPr="00C564F2">
        <w:rPr>
          <w:b/>
          <w:bCs/>
          <w:lang w:val="id-ID"/>
        </w:rPr>
        <w:t>y</w:t>
      </w:r>
      <w:proofErr w:type="spellStart"/>
      <w:r w:rsidRPr="00C564F2">
        <w:rPr>
          <w:b/>
          <w:bCs/>
          <w:lang w:val="en-ID"/>
        </w:rPr>
        <w:t>potes</w:t>
      </w:r>
      <w:proofErr w:type="spellEnd"/>
      <w:r w:rsidRPr="00C564F2">
        <w:rPr>
          <w:b/>
          <w:bCs/>
          <w:lang w:val="id-ID"/>
        </w:rPr>
        <w:t>i</w:t>
      </w:r>
      <w:r w:rsidRPr="00C564F2">
        <w:rPr>
          <w:b/>
          <w:bCs/>
          <w:lang w:val="en-ID"/>
        </w:rPr>
        <w:t>s</w:t>
      </w:r>
    </w:p>
    <w:tbl>
      <w:tblPr>
        <w:tblW w:w="7672" w:type="dxa"/>
        <w:tblInd w:w="468" w:type="dxa"/>
        <w:tblBorders>
          <w:top w:val="single" w:sz="4" w:space="0" w:color="7F7F7F"/>
          <w:bottom w:val="single" w:sz="4" w:space="0" w:color="7F7F7F"/>
        </w:tblBorders>
        <w:tblLook w:val="04A0" w:firstRow="1" w:lastRow="0" w:firstColumn="1" w:lastColumn="0" w:noHBand="0" w:noVBand="1"/>
      </w:tblPr>
      <w:tblGrid>
        <w:gridCol w:w="1403"/>
        <w:gridCol w:w="4915"/>
        <w:gridCol w:w="1354"/>
      </w:tblGrid>
      <w:tr w:rsidR="00AF630F" w:rsidRPr="00C564F2" w14:paraId="478DA41D" w14:textId="77777777" w:rsidTr="00AF630F">
        <w:tc>
          <w:tcPr>
            <w:tcW w:w="1403" w:type="dxa"/>
            <w:tcBorders>
              <w:top w:val="single" w:sz="4" w:space="0" w:color="7F7F7F"/>
              <w:bottom w:val="single" w:sz="4" w:space="0" w:color="auto"/>
            </w:tcBorders>
            <w:shd w:val="clear" w:color="auto" w:fill="auto"/>
          </w:tcPr>
          <w:p w14:paraId="5C824BEB" w14:textId="77777777" w:rsidR="00AF630F" w:rsidRPr="00C564F2" w:rsidRDefault="00AF630F" w:rsidP="00E122A5">
            <w:pPr>
              <w:jc w:val="both"/>
              <w:rPr>
                <w:b/>
                <w:bCs/>
                <w:lang w:val="en-ID"/>
              </w:rPr>
            </w:pPr>
            <w:proofErr w:type="spellStart"/>
            <w:r w:rsidRPr="00C564F2">
              <w:rPr>
                <w:b/>
                <w:bCs/>
                <w:lang w:val="en-ID"/>
              </w:rPr>
              <w:t>Variabel</w:t>
            </w:r>
            <w:proofErr w:type="spellEnd"/>
          </w:p>
        </w:tc>
        <w:tc>
          <w:tcPr>
            <w:tcW w:w="4915" w:type="dxa"/>
            <w:tcBorders>
              <w:top w:val="single" w:sz="4" w:space="0" w:color="7F7F7F"/>
              <w:bottom w:val="single" w:sz="4" w:space="0" w:color="auto"/>
            </w:tcBorders>
            <w:shd w:val="clear" w:color="auto" w:fill="auto"/>
          </w:tcPr>
          <w:p w14:paraId="0DA74E44" w14:textId="77777777" w:rsidR="00AF630F" w:rsidRPr="00C564F2" w:rsidRDefault="00AF630F" w:rsidP="00E122A5">
            <w:pPr>
              <w:ind w:left="-108" w:firstLine="108"/>
              <w:jc w:val="center"/>
              <w:rPr>
                <w:b/>
                <w:bCs/>
                <w:lang w:val="en-ID"/>
              </w:rPr>
            </w:pPr>
            <w:r w:rsidRPr="00C564F2">
              <w:rPr>
                <w:b/>
                <w:bCs/>
                <w:lang w:val="en-ID"/>
              </w:rPr>
              <w:t>Description</w:t>
            </w:r>
          </w:p>
        </w:tc>
        <w:tc>
          <w:tcPr>
            <w:tcW w:w="1354" w:type="dxa"/>
            <w:tcBorders>
              <w:top w:val="single" w:sz="4" w:space="0" w:color="7F7F7F"/>
              <w:bottom w:val="single" w:sz="4" w:space="0" w:color="auto"/>
            </w:tcBorders>
            <w:shd w:val="clear" w:color="auto" w:fill="auto"/>
          </w:tcPr>
          <w:p w14:paraId="66723CA6" w14:textId="77777777" w:rsidR="00AF630F" w:rsidRPr="00C564F2" w:rsidRDefault="00AF630F" w:rsidP="00E122A5">
            <w:pPr>
              <w:jc w:val="center"/>
              <w:rPr>
                <w:b/>
                <w:bCs/>
                <w:lang w:val="en-ID"/>
              </w:rPr>
            </w:pPr>
            <w:proofErr w:type="spellStart"/>
            <w:r w:rsidRPr="00C564F2">
              <w:rPr>
                <w:b/>
                <w:bCs/>
                <w:lang w:val="en-ID"/>
              </w:rPr>
              <w:t>Hyphotesis</w:t>
            </w:r>
            <w:proofErr w:type="spellEnd"/>
          </w:p>
        </w:tc>
      </w:tr>
      <w:tr w:rsidR="00AF630F" w:rsidRPr="00C564F2" w14:paraId="1C9CA531" w14:textId="77777777" w:rsidTr="00AF630F">
        <w:tc>
          <w:tcPr>
            <w:tcW w:w="7672" w:type="dxa"/>
            <w:gridSpan w:val="3"/>
            <w:tcBorders>
              <w:top w:val="single" w:sz="4" w:space="0" w:color="auto"/>
              <w:bottom w:val="nil"/>
            </w:tcBorders>
            <w:shd w:val="clear" w:color="auto" w:fill="auto"/>
          </w:tcPr>
          <w:p w14:paraId="1FDDD763" w14:textId="77777777" w:rsidR="00AF630F" w:rsidRPr="00C564F2" w:rsidRDefault="00AF630F" w:rsidP="00E122A5">
            <w:pPr>
              <w:jc w:val="both"/>
              <w:rPr>
                <w:b/>
                <w:bCs/>
                <w:lang w:val="en-ID"/>
              </w:rPr>
            </w:pPr>
            <w:r w:rsidRPr="00C564F2">
              <w:rPr>
                <w:b/>
                <w:bCs/>
                <w:lang w:val="en-ID"/>
              </w:rPr>
              <w:t>Dependent Variable</w:t>
            </w:r>
          </w:p>
        </w:tc>
      </w:tr>
      <w:tr w:rsidR="00AF630F" w:rsidRPr="00C564F2" w14:paraId="23486FA5" w14:textId="77777777" w:rsidTr="00AF630F">
        <w:trPr>
          <w:trHeight w:val="765"/>
        </w:trPr>
        <w:tc>
          <w:tcPr>
            <w:tcW w:w="1403" w:type="dxa"/>
            <w:tcBorders>
              <w:top w:val="nil"/>
              <w:bottom w:val="single" w:sz="4" w:space="0" w:color="auto"/>
            </w:tcBorders>
            <w:shd w:val="clear" w:color="auto" w:fill="auto"/>
          </w:tcPr>
          <w:p w14:paraId="407A136E" w14:textId="77777777" w:rsidR="00AF630F" w:rsidRPr="00C564F2" w:rsidRDefault="00AF630F" w:rsidP="00E122A5">
            <w:pPr>
              <w:jc w:val="both"/>
              <w:rPr>
                <w:i/>
                <w:iCs/>
                <w:lang w:val="en-ID"/>
              </w:rPr>
            </w:pPr>
            <w:r w:rsidRPr="00C564F2">
              <w:rPr>
                <w:i/>
                <w:iCs/>
                <w:lang w:val="en-ID"/>
              </w:rPr>
              <w:t>NPF</w:t>
            </w:r>
          </w:p>
        </w:tc>
        <w:tc>
          <w:tcPr>
            <w:tcW w:w="4915" w:type="dxa"/>
            <w:tcBorders>
              <w:top w:val="nil"/>
              <w:bottom w:val="single" w:sz="4" w:space="0" w:color="auto"/>
            </w:tcBorders>
            <w:shd w:val="clear" w:color="auto" w:fill="auto"/>
          </w:tcPr>
          <w:p w14:paraId="26483981" w14:textId="77777777" w:rsidR="00AF630F" w:rsidRPr="00C564F2" w:rsidRDefault="00AF630F" w:rsidP="00E122A5">
            <w:pPr>
              <w:jc w:val="both"/>
              <w:rPr>
                <w:lang w:val="id-ID"/>
              </w:rPr>
            </w:pPr>
            <w:r w:rsidRPr="00C564F2">
              <w:rPr>
                <w:lang w:val="en-ID"/>
              </w:rPr>
              <w:t xml:space="preserve">Non performing financing </w:t>
            </w:r>
            <w:r w:rsidRPr="00C564F2">
              <w:rPr>
                <w:lang w:val="id-ID"/>
              </w:rPr>
              <w:t xml:space="preserve">to measure the risk of financing. </w:t>
            </w:r>
          </w:p>
        </w:tc>
        <w:tc>
          <w:tcPr>
            <w:tcW w:w="1354" w:type="dxa"/>
            <w:tcBorders>
              <w:top w:val="nil"/>
              <w:bottom w:val="single" w:sz="4" w:space="0" w:color="auto"/>
            </w:tcBorders>
            <w:shd w:val="clear" w:color="auto" w:fill="auto"/>
          </w:tcPr>
          <w:p w14:paraId="3BD2DBD6" w14:textId="77777777" w:rsidR="00AF630F" w:rsidRPr="00C564F2" w:rsidRDefault="00AF630F" w:rsidP="00E122A5">
            <w:pPr>
              <w:jc w:val="both"/>
              <w:rPr>
                <w:lang w:val="en-ID"/>
              </w:rPr>
            </w:pPr>
          </w:p>
        </w:tc>
      </w:tr>
      <w:tr w:rsidR="00AF630F" w:rsidRPr="00C564F2" w14:paraId="49A54AE8" w14:textId="77777777" w:rsidTr="00AF630F">
        <w:tc>
          <w:tcPr>
            <w:tcW w:w="7672" w:type="dxa"/>
            <w:gridSpan w:val="3"/>
            <w:tcBorders>
              <w:top w:val="single" w:sz="4" w:space="0" w:color="auto"/>
              <w:bottom w:val="nil"/>
            </w:tcBorders>
            <w:shd w:val="clear" w:color="auto" w:fill="auto"/>
          </w:tcPr>
          <w:p w14:paraId="2CEFCAAF" w14:textId="77777777" w:rsidR="00AF630F" w:rsidRPr="00C564F2" w:rsidRDefault="00AF630F" w:rsidP="00E122A5">
            <w:pPr>
              <w:jc w:val="both"/>
              <w:rPr>
                <w:b/>
                <w:bCs/>
                <w:lang w:val="en-ID"/>
              </w:rPr>
            </w:pPr>
          </w:p>
          <w:p w14:paraId="063F68D4" w14:textId="77777777" w:rsidR="00AF630F" w:rsidRPr="00C564F2" w:rsidRDefault="00AF630F" w:rsidP="00E122A5">
            <w:pPr>
              <w:jc w:val="both"/>
              <w:rPr>
                <w:lang w:val="en-ID"/>
              </w:rPr>
            </w:pPr>
            <w:r w:rsidRPr="00C564F2">
              <w:rPr>
                <w:b/>
                <w:bCs/>
                <w:lang w:val="en-ID"/>
              </w:rPr>
              <w:t xml:space="preserve">Independent </w:t>
            </w:r>
            <w:proofErr w:type="spellStart"/>
            <w:r w:rsidRPr="00C564F2">
              <w:rPr>
                <w:b/>
                <w:bCs/>
                <w:lang w:val="en-ID"/>
              </w:rPr>
              <w:t>Variabel</w:t>
            </w:r>
            <w:proofErr w:type="spellEnd"/>
          </w:p>
        </w:tc>
      </w:tr>
      <w:tr w:rsidR="00AF630F" w:rsidRPr="00C564F2" w14:paraId="754597DA" w14:textId="77777777" w:rsidTr="00AF630F">
        <w:tc>
          <w:tcPr>
            <w:tcW w:w="1403" w:type="dxa"/>
            <w:tcBorders>
              <w:top w:val="nil"/>
              <w:bottom w:val="nil"/>
            </w:tcBorders>
            <w:shd w:val="clear" w:color="auto" w:fill="auto"/>
          </w:tcPr>
          <w:p w14:paraId="65378178" w14:textId="77777777" w:rsidR="00AF630F" w:rsidRPr="00C564F2" w:rsidRDefault="00AF630F" w:rsidP="00E122A5">
            <w:pPr>
              <w:jc w:val="both"/>
              <w:rPr>
                <w:b/>
                <w:bCs/>
                <w:i/>
                <w:iCs/>
                <w:lang w:val="en-ID"/>
              </w:rPr>
            </w:pPr>
            <w:r w:rsidRPr="00C564F2">
              <w:rPr>
                <w:b/>
                <w:bCs/>
                <w:i/>
                <w:iCs/>
                <w:lang w:val="en-ID"/>
              </w:rPr>
              <w:t>Asset</w:t>
            </w:r>
          </w:p>
        </w:tc>
        <w:tc>
          <w:tcPr>
            <w:tcW w:w="4915" w:type="dxa"/>
            <w:tcBorders>
              <w:top w:val="nil"/>
              <w:bottom w:val="nil"/>
            </w:tcBorders>
            <w:shd w:val="clear" w:color="auto" w:fill="auto"/>
          </w:tcPr>
          <w:p w14:paraId="1D6EB49C" w14:textId="77777777" w:rsidR="00AF630F" w:rsidRPr="00C564F2" w:rsidRDefault="00AF630F" w:rsidP="00E122A5">
            <w:pPr>
              <w:jc w:val="both"/>
              <w:rPr>
                <w:lang w:val="id-ID"/>
              </w:rPr>
            </w:pPr>
            <w:r w:rsidRPr="00C564F2">
              <w:rPr>
                <w:lang w:val="id-ID"/>
              </w:rPr>
              <w:t>Total assets with natural logarithm (ln) to measure the size of the bank.</w:t>
            </w:r>
          </w:p>
        </w:tc>
        <w:tc>
          <w:tcPr>
            <w:tcW w:w="1354" w:type="dxa"/>
            <w:tcBorders>
              <w:top w:val="nil"/>
              <w:bottom w:val="nil"/>
            </w:tcBorders>
            <w:shd w:val="clear" w:color="auto" w:fill="auto"/>
          </w:tcPr>
          <w:p w14:paraId="3B137A3F" w14:textId="77777777" w:rsidR="00AF630F" w:rsidRPr="00C564F2" w:rsidRDefault="00AF630F" w:rsidP="00E122A5">
            <w:pPr>
              <w:jc w:val="center"/>
              <w:rPr>
                <w:lang w:val="en-ID"/>
              </w:rPr>
            </w:pPr>
            <w:r w:rsidRPr="00C564F2">
              <w:rPr>
                <w:lang w:val="en-ID"/>
              </w:rPr>
              <w:t>(+/-)</w:t>
            </w:r>
          </w:p>
        </w:tc>
      </w:tr>
      <w:tr w:rsidR="00AF630F" w:rsidRPr="00C564F2" w14:paraId="03E7D376" w14:textId="77777777" w:rsidTr="00AF630F">
        <w:tc>
          <w:tcPr>
            <w:tcW w:w="1403" w:type="dxa"/>
            <w:tcBorders>
              <w:top w:val="nil"/>
              <w:bottom w:val="nil"/>
            </w:tcBorders>
            <w:shd w:val="clear" w:color="auto" w:fill="auto"/>
          </w:tcPr>
          <w:p w14:paraId="09DF85A7" w14:textId="77777777" w:rsidR="00AF630F" w:rsidRPr="00C564F2" w:rsidRDefault="00AF630F" w:rsidP="00E122A5">
            <w:pPr>
              <w:jc w:val="both"/>
              <w:rPr>
                <w:b/>
                <w:bCs/>
                <w:i/>
                <w:iCs/>
                <w:lang w:val="en-ID"/>
              </w:rPr>
            </w:pPr>
            <w:r w:rsidRPr="00C564F2">
              <w:rPr>
                <w:b/>
                <w:bCs/>
                <w:i/>
                <w:iCs/>
                <w:lang w:val="en-ID"/>
              </w:rPr>
              <w:t>FDR</w:t>
            </w:r>
          </w:p>
        </w:tc>
        <w:tc>
          <w:tcPr>
            <w:tcW w:w="4915" w:type="dxa"/>
            <w:tcBorders>
              <w:top w:val="nil"/>
              <w:bottom w:val="nil"/>
            </w:tcBorders>
            <w:shd w:val="clear" w:color="auto" w:fill="auto"/>
          </w:tcPr>
          <w:p w14:paraId="5F170A18" w14:textId="77777777" w:rsidR="00AF630F" w:rsidRPr="00C564F2" w:rsidRDefault="00AF630F" w:rsidP="00E122A5">
            <w:pPr>
              <w:jc w:val="both"/>
              <w:rPr>
                <w:lang w:val="id-ID"/>
              </w:rPr>
            </w:pPr>
            <w:r w:rsidRPr="00C564F2">
              <w:rPr>
                <w:lang w:val="id-ID"/>
              </w:rPr>
              <w:t>Financing to deposit ratio measures the amount of financing disbursed compared to equity (deposit).</w:t>
            </w:r>
          </w:p>
        </w:tc>
        <w:tc>
          <w:tcPr>
            <w:tcW w:w="1354" w:type="dxa"/>
            <w:tcBorders>
              <w:top w:val="nil"/>
              <w:bottom w:val="nil"/>
            </w:tcBorders>
            <w:shd w:val="clear" w:color="auto" w:fill="auto"/>
          </w:tcPr>
          <w:p w14:paraId="11EB1DED" w14:textId="77777777" w:rsidR="00AF630F" w:rsidRPr="00C564F2" w:rsidRDefault="00AF630F" w:rsidP="00E122A5">
            <w:pPr>
              <w:jc w:val="center"/>
              <w:rPr>
                <w:lang w:val="en-ID"/>
              </w:rPr>
            </w:pPr>
            <w:r w:rsidRPr="00C564F2">
              <w:rPr>
                <w:lang w:val="en-ID"/>
              </w:rPr>
              <w:t>(+)</w:t>
            </w:r>
          </w:p>
        </w:tc>
      </w:tr>
      <w:tr w:rsidR="00AF630F" w:rsidRPr="00C564F2" w14:paraId="393A8C91" w14:textId="77777777" w:rsidTr="00AF630F">
        <w:tc>
          <w:tcPr>
            <w:tcW w:w="1403" w:type="dxa"/>
            <w:tcBorders>
              <w:top w:val="nil"/>
              <w:bottom w:val="nil"/>
            </w:tcBorders>
            <w:shd w:val="clear" w:color="auto" w:fill="auto"/>
          </w:tcPr>
          <w:p w14:paraId="6FA7F87B" w14:textId="77777777" w:rsidR="00AF630F" w:rsidRPr="00C564F2" w:rsidRDefault="00AF630F" w:rsidP="00E122A5">
            <w:pPr>
              <w:jc w:val="both"/>
              <w:rPr>
                <w:b/>
                <w:bCs/>
                <w:i/>
                <w:iCs/>
                <w:lang w:val="en-ID"/>
              </w:rPr>
            </w:pPr>
            <w:r w:rsidRPr="00C564F2">
              <w:rPr>
                <w:b/>
                <w:bCs/>
                <w:i/>
                <w:iCs/>
                <w:lang w:val="en-ID"/>
              </w:rPr>
              <w:t>OER</w:t>
            </w:r>
          </w:p>
        </w:tc>
        <w:tc>
          <w:tcPr>
            <w:tcW w:w="4915" w:type="dxa"/>
            <w:tcBorders>
              <w:top w:val="nil"/>
              <w:bottom w:val="nil"/>
            </w:tcBorders>
            <w:shd w:val="clear" w:color="auto" w:fill="auto"/>
          </w:tcPr>
          <w:p w14:paraId="19F483BE" w14:textId="77777777" w:rsidR="00AF630F" w:rsidRPr="00C564F2" w:rsidRDefault="00AF630F" w:rsidP="00E122A5">
            <w:pPr>
              <w:jc w:val="both"/>
              <w:rPr>
                <w:lang w:val="id-ID"/>
              </w:rPr>
            </w:pPr>
            <w:r>
              <w:t>O</w:t>
            </w:r>
            <w:r w:rsidRPr="00844BBA">
              <w:rPr>
                <w:lang w:val="id-ID"/>
              </w:rPr>
              <w:t xml:space="preserve">perational efficiency ratio </w:t>
            </w:r>
            <w:r w:rsidRPr="00C564F2">
              <w:rPr>
                <w:lang w:val="id-ID"/>
              </w:rPr>
              <w:t>(</w:t>
            </w:r>
            <w:r w:rsidRPr="00C564F2">
              <w:t>OER</w:t>
            </w:r>
            <w:r w:rsidRPr="00C564F2">
              <w:rPr>
                <w:lang w:val="id-ID"/>
              </w:rPr>
              <w:t>) measures the level of bank efficiency in the use of funds.</w:t>
            </w:r>
          </w:p>
        </w:tc>
        <w:tc>
          <w:tcPr>
            <w:tcW w:w="1354" w:type="dxa"/>
            <w:tcBorders>
              <w:top w:val="nil"/>
              <w:bottom w:val="nil"/>
            </w:tcBorders>
            <w:shd w:val="clear" w:color="auto" w:fill="auto"/>
          </w:tcPr>
          <w:p w14:paraId="546EC9A4" w14:textId="77777777" w:rsidR="00AF630F" w:rsidRPr="00C564F2" w:rsidRDefault="00AF630F" w:rsidP="00E122A5">
            <w:pPr>
              <w:jc w:val="center"/>
              <w:rPr>
                <w:lang w:val="en-ID"/>
              </w:rPr>
            </w:pPr>
            <w:r w:rsidRPr="00C564F2">
              <w:rPr>
                <w:lang w:val="en-ID"/>
              </w:rPr>
              <w:t>(+)</w:t>
            </w:r>
          </w:p>
        </w:tc>
      </w:tr>
      <w:tr w:rsidR="00AF630F" w:rsidRPr="00C564F2" w14:paraId="713A60D5" w14:textId="77777777" w:rsidTr="00AF630F">
        <w:tc>
          <w:tcPr>
            <w:tcW w:w="1403" w:type="dxa"/>
            <w:tcBorders>
              <w:top w:val="nil"/>
              <w:bottom w:val="single" w:sz="4" w:space="0" w:color="auto"/>
            </w:tcBorders>
            <w:shd w:val="clear" w:color="auto" w:fill="auto"/>
          </w:tcPr>
          <w:p w14:paraId="162F7769" w14:textId="77777777" w:rsidR="00AF630F" w:rsidRPr="00C564F2" w:rsidRDefault="00AF630F" w:rsidP="00E122A5">
            <w:pPr>
              <w:jc w:val="both"/>
              <w:rPr>
                <w:b/>
                <w:bCs/>
                <w:i/>
                <w:iCs/>
                <w:lang w:val="en-ID"/>
              </w:rPr>
            </w:pPr>
            <w:r w:rsidRPr="00C564F2">
              <w:rPr>
                <w:b/>
                <w:bCs/>
                <w:i/>
                <w:iCs/>
                <w:lang w:val="en-ID"/>
              </w:rPr>
              <w:t>GRDP</w:t>
            </w:r>
          </w:p>
        </w:tc>
        <w:tc>
          <w:tcPr>
            <w:tcW w:w="4915" w:type="dxa"/>
            <w:tcBorders>
              <w:top w:val="nil"/>
              <w:bottom w:val="single" w:sz="4" w:space="0" w:color="auto"/>
            </w:tcBorders>
            <w:shd w:val="clear" w:color="auto" w:fill="auto"/>
          </w:tcPr>
          <w:p w14:paraId="3604BDBA" w14:textId="77777777" w:rsidR="00AF630F" w:rsidRPr="00C564F2" w:rsidRDefault="00AF630F" w:rsidP="00E122A5">
            <w:pPr>
              <w:jc w:val="both"/>
              <w:rPr>
                <w:lang w:val="id-ID"/>
              </w:rPr>
            </w:pPr>
            <w:r w:rsidRPr="00C564F2">
              <w:rPr>
                <w:lang w:val="id-ID"/>
              </w:rPr>
              <w:t>GRDP is the rate of regional economic growth.</w:t>
            </w:r>
          </w:p>
        </w:tc>
        <w:tc>
          <w:tcPr>
            <w:tcW w:w="1354" w:type="dxa"/>
            <w:tcBorders>
              <w:top w:val="nil"/>
              <w:bottom w:val="single" w:sz="4" w:space="0" w:color="auto"/>
            </w:tcBorders>
            <w:shd w:val="clear" w:color="auto" w:fill="auto"/>
          </w:tcPr>
          <w:p w14:paraId="6EEF6674" w14:textId="77777777" w:rsidR="00AF630F" w:rsidRPr="00C564F2" w:rsidRDefault="00AF630F" w:rsidP="00E122A5">
            <w:pPr>
              <w:jc w:val="center"/>
              <w:rPr>
                <w:lang w:val="en-ID"/>
              </w:rPr>
            </w:pPr>
            <w:r w:rsidRPr="00C564F2">
              <w:rPr>
                <w:lang w:val="en-ID"/>
              </w:rPr>
              <w:t>(-)</w:t>
            </w:r>
          </w:p>
        </w:tc>
      </w:tr>
    </w:tbl>
    <w:p w14:paraId="67A1AC69" w14:textId="00ACE9D0" w:rsidR="00AF630F" w:rsidRDefault="00AF630F" w:rsidP="00AF630F">
      <w:pPr>
        <w:jc w:val="both"/>
        <w:rPr>
          <w:lang w:val="en-ID"/>
        </w:rPr>
      </w:pPr>
    </w:p>
    <w:p w14:paraId="04927641" w14:textId="77777777" w:rsidR="00AE0010" w:rsidRPr="00C564F2" w:rsidRDefault="00AE0010" w:rsidP="00AF630F">
      <w:pPr>
        <w:jc w:val="both"/>
        <w:rPr>
          <w:lang w:val="en-ID"/>
        </w:rPr>
      </w:pPr>
    </w:p>
    <w:p w14:paraId="1DF5A44E" w14:textId="77777777" w:rsidR="005C4FD2" w:rsidRPr="008F4C8B" w:rsidRDefault="00B06972" w:rsidP="008B2542">
      <w:pPr>
        <w:pStyle w:val="BodyText"/>
        <w:spacing w:after="0" w:line="216" w:lineRule="auto"/>
        <w:ind w:left="426" w:hanging="426"/>
        <w:jc w:val="both"/>
        <w:rPr>
          <w:rFonts w:ascii="Centaur" w:hAnsi="Centaur"/>
          <w:b/>
          <w:sz w:val="28"/>
          <w:szCs w:val="28"/>
          <w:lang w:val="id-ID"/>
        </w:rPr>
      </w:pPr>
      <w:r w:rsidRPr="00736C2E">
        <w:rPr>
          <w:rFonts w:ascii="Centaur" w:hAnsi="Centaur"/>
          <w:b/>
          <w:sz w:val="28"/>
          <w:szCs w:val="28"/>
          <w:lang w:val="id-ID"/>
        </w:rPr>
        <w:t xml:space="preserve">C. </w:t>
      </w:r>
      <w:r w:rsidRPr="00736C2E">
        <w:rPr>
          <w:rFonts w:ascii="Centaur" w:hAnsi="Centaur"/>
          <w:b/>
          <w:sz w:val="28"/>
          <w:szCs w:val="28"/>
          <w:lang w:val="id-ID"/>
        </w:rPr>
        <w:tab/>
      </w:r>
      <w:r w:rsidR="008F4C8B">
        <w:rPr>
          <w:rFonts w:ascii="Centaur" w:hAnsi="Centaur"/>
          <w:b/>
          <w:sz w:val="28"/>
          <w:szCs w:val="28"/>
          <w:lang w:val="id-ID"/>
        </w:rPr>
        <w:t>METHODOLOGY</w:t>
      </w:r>
    </w:p>
    <w:p w14:paraId="07F8B2E8" w14:textId="77777777" w:rsidR="00AE0010" w:rsidRPr="00C564F2" w:rsidRDefault="00AE0010" w:rsidP="00AE0010">
      <w:pPr>
        <w:ind w:firstLine="450"/>
        <w:jc w:val="both"/>
        <w:rPr>
          <w:lang w:val="en-ID"/>
        </w:rPr>
      </w:pPr>
      <w:r w:rsidRPr="00C564F2">
        <w:rPr>
          <w:lang w:val="en-ID"/>
        </w:rPr>
        <w:t xml:space="preserve">This research is </w:t>
      </w:r>
      <w:proofErr w:type="gramStart"/>
      <w:r w:rsidRPr="00C564F2">
        <w:rPr>
          <w:lang w:val="en-ID"/>
        </w:rPr>
        <w:t>a quantitative research</w:t>
      </w:r>
      <w:proofErr w:type="gramEnd"/>
      <w:r w:rsidRPr="00C564F2">
        <w:rPr>
          <w:lang w:val="en-ID"/>
        </w:rPr>
        <w:t>. This study follow</w:t>
      </w:r>
      <w:r w:rsidRPr="00C564F2">
        <w:rPr>
          <w:lang w:val="id-ID"/>
        </w:rPr>
        <w:t xml:space="preserve"> the</w:t>
      </w:r>
      <w:r w:rsidRPr="00C564F2">
        <w:rPr>
          <w:lang w:val="en-ID"/>
        </w:rPr>
        <w:t xml:space="preserve"> previous research</w:t>
      </w:r>
      <w:r w:rsidRPr="00C564F2">
        <w:rPr>
          <w:lang w:val="id-ID"/>
        </w:rPr>
        <w:t>s</w:t>
      </w:r>
      <w:r w:rsidRPr="00C564F2">
        <w:rPr>
          <w:lang w:val="en-ID"/>
        </w:rPr>
        <w:t xml:space="preserve"> that u</w:t>
      </w:r>
      <w:r w:rsidRPr="00C564F2">
        <w:rPr>
          <w:lang w:val="id-ID"/>
        </w:rPr>
        <w:t>tilized</w:t>
      </w:r>
      <w:r w:rsidRPr="00C564F2">
        <w:rPr>
          <w:lang w:val="en-ID"/>
        </w:rPr>
        <w:t xml:space="preserve"> macroeconomic and internal variables</w:t>
      </w:r>
      <w:r w:rsidRPr="00C564F2">
        <w:rPr>
          <w:lang w:val="id-ID"/>
        </w:rPr>
        <w:t xml:space="preserve"> </w:t>
      </w:r>
      <w:r w:rsidRPr="00C564F2">
        <w:rPr>
          <w:lang w:val="en-ID"/>
        </w:rPr>
        <w:t xml:space="preserve">on the NPF of </w:t>
      </w:r>
      <w:r>
        <w:rPr>
          <w:lang w:val="en-ID"/>
        </w:rPr>
        <w:t>IRB</w:t>
      </w:r>
      <w:r w:rsidRPr="00C564F2">
        <w:rPr>
          <w:lang w:val="en-ID"/>
        </w:rPr>
        <w:t xml:space="preserve"> in Indonesia </w:t>
      </w:r>
      <w:r w:rsidRPr="00C564F2">
        <w:rPr>
          <w:lang w:val="en-ID"/>
        </w:rPr>
        <w:fldChar w:fldCharType="begin" w:fldLock="1"/>
      </w:r>
      <w:r w:rsidRPr="00C564F2">
        <w:rPr>
          <w:lang w:val="en-ID"/>
        </w:rPr>
        <w:instrText>ADDIN CSL_CITATION {"citationItems":[{"id":"ITEM-1","itemData":{"DOI":"10.13106/jafeb.2020.vol7.no9.305","author":[{"dropping-particle":"","family":"Widarjono","given":"Agus","non-dropping-particle":"","parse-names":false,"suffix":""},{"dropping-particle":"","family":"Anto","given":"M B Hendrie","non-dropping-particle":"","parse-names":false,"suffix":""},{"dropping-particle":"","family":"Fakhrunnas","given":"Faaza","non-dropping-particle":"","parse-names":false,"suffix":""}],"id":"ITEM-1","issue":"9","issued":{"date-parts":[["2020"]]},"page":"305-314","title":"Financing Risk in Indonesian Islamic Rural Banks : Do Financing Products Matter ?*","type":"article-journal","volume":"7"},"uris":["http://www.mendeley.com/documents/?uuid=3e0285a8-3ffd-4550-864e-e7b8538e5062"]},{"id":"ITEM-2","itemData":{"author":[{"dropping-particle":"","family":"Widarjono","given":"Agus","non-dropping-particle":"","parse-names":false,"suffix":""},{"dropping-particle":"","family":"Rudatin","given":"Ari","non-dropping-particle":"","parse-names":false,"suffix":""}],"container-title":"Global of Islamic Economics and Business","id":"ITEM-2","issue":"1","issued":{"date-parts":[["2021"]]},"page":"29-41","title":"The Determinants of Indonesian Islamic Rural Banks' Non-Performing Financing","type":"article-journal","volume":"9"},"uris":["http://www.mendeley.com/documents/?uuid=97413041-aa94-487f-8d40-c42d18a3aea5"]},{"id":"ITEM-3","itemData":{"DOI":"10.18502/kss.v3i13.4223","author":[{"dropping-particle":"","family":"Wulandari","given":"Melianda Visca","non-dropping-particle":"","parse-names":false,"suffix":""},{"dropping-particle":"","family":"Suryana","given":"","non-dropping-particle":"","parse-names":false,"suffix":""},{"dropping-particle":"","family":"Utami","given":"Suci Aprilliani","non-dropping-particle":"","parse-names":false,"suffix":""}],"container-title":"The 2nd International Conference on Islamic Economics, Business, and Philanthropy (ICIEBP) Theme: “Sustainability and Socio Economic Growth","id":"ITEM-3","issued":{"date-parts":[["2019"]]},"page":"453-468","title":"Determinant of Non-performing Financing in Indonesia Islamic Bank","type":"paper-conference","volume":"2019"},"uris":["http://www.mendeley.com/documents/?uuid=d8f64494-1400-4675-86b6-9d0379cbf297"]},{"id":"ITEM-4","itemData":{"DOI":"10.20885/JEKI.vol6.iss1.art4","author":[{"dropping-particle":"","family":"Rahmah","given":"Anggia Zainur","non-dropping-particle":"","parse-names":false,"suffix":""},{"dropping-particle":"","family":"Armina","given":"Sheema Haseena","non-dropping-particle":"","parse-names":false,"suffix":""}],"container-title":"Jurnal Ekonomi &amp; Keuangan Islam","id":"ITEM-4","issue":"1","issued":{"date-parts":[["2020"]]},"page":"34-41","title":"Macro and micro determinants of the non-performing finance: The case of Indonesian Islamic bank","type":"article-journal","volume":"6"},"uris":["http://www.mendeley.com/documents/?uuid=7b9dd31c-17c9-4c97-90b8-55db466912fe"]}],"mendeley":{"formattedCitation":"(Rahmah &amp; Armina, 2020; Widarjono et al., 2020; Widarjono &amp; Rudatin, 2021; Wulandari et al., 2019)","plainTextFormattedCitation":"(Rahmah &amp; Armina, 2020; Widarjono et al., 2020; Widarjono &amp; Rudatin, 2021; Wulandari et al., 2019)","previouslyFormattedCitation":"(Rahmah &amp; Armina, 2020; Widarjono et al., 2020; Widarjono &amp; Rudatin, 2021; Wulandari et al., 2019)"},"properties":{"noteIndex":0},"schema":"https://github.com/citation-style-language/schema/raw/master/csl-citation.json"}</w:instrText>
      </w:r>
      <w:r w:rsidRPr="00C564F2">
        <w:rPr>
          <w:lang w:val="en-ID"/>
        </w:rPr>
        <w:fldChar w:fldCharType="separate"/>
      </w:r>
      <w:r w:rsidRPr="00C564F2">
        <w:rPr>
          <w:lang w:val="en-ID"/>
        </w:rPr>
        <w:t>(</w:t>
      </w:r>
      <w:proofErr w:type="spellStart"/>
      <w:r w:rsidRPr="00C564F2">
        <w:rPr>
          <w:lang w:val="en-ID"/>
        </w:rPr>
        <w:t>Rahmah</w:t>
      </w:r>
      <w:proofErr w:type="spellEnd"/>
      <w:r w:rsidRPr="00C564F2">
        <w:rPr>
          <w:lang w:val="en-ID"/>
        </w:rPr>
        <w:t xml:space="preserve"> &amp; Armina, 2020; </w:t>
      </w:r>
      <w:proofErr w:type="spellStart"/>
      <w:r w:rsidRPr="00C564F2">
        <w:rPr>
          <w:lang w:val="en-ID"/>
        </w:rPr>
        <w:t>Widarjono</w:t>
      </w:r>
      <w:proofErr w:type="spellEnd"/>
      <w:r w:rsidRPr="00C564F2">
        <w:rPr>
          <w:lang w:val="en-ID"/>
        </w:rPr>
        <w:t xml:space="preserve"> et al., 2020; </w:t>
      </w:r>
      <w:proofErr w:type="spellStart"/>
      <w:r w:rsidRPr="00C564F2">
        <w:rPr>
          <w:lang w:val="en-ID"/>
        </w:rPr>
        <w:t>Widarjono</w:t>
      </w:r>
      <w:proofErr w:type="spellEnd"/>
      <w:r w:rsidRPr="00C564F2">
        <w:rPr>
          <w:lang w:val="en-ID"/>
        </w:rPr>
        <w:t xml:space="preserve"> &amp; </w:t>
      </w:r>
      <w:proofErr w:type="spellStart"/>
      <w:r w:rsidRPr="00C564F2">
        <w:rPr>
          <w:lang w:val="en-ID"/>
        </w:rPr>
        <w:t>Rudatin</w:t>
      </w:r>
      <w:proofErr w:type="spellEnd"/>
      <w:r w:rsidRPr="00C564F2">
        <w:rPr>
          <w:lang w:val="en-ID"/>
        </w:rPr>
        <w:t xml:space="preserve">, 2021; </w:t>
      </w:r>
      <w:proofErr w:type="spellStart"/>
      <w:r w:rsidRPr="00C564F2">
        <w:rPr>
          <w:lang w:val="en-ID"/>
        </w:rPr>
        <w:t>Wulandari</w:t>
      </w:r>
      <w:proofErr w:type="spellEnd"/>
      <w:r w:rsidRPr="00C564F2">
        <w:rPr>
          <w:lang w:val="en-ID"/>
        </w:rPr>
        <w:t xml:space="preserve"> et al., 2019)</w:t>
      </w:r>
      <w:r w:rsidRPr="00C564F2">
        <w:rPr>
          <w:lang w:val="en-ID"/>
        </w:rPr>
        <w:fldChar w:fldCharType="end"/>
      </w:r>
      <w:r w:rsidRPr="00C564F2">
        <w:rPr>
          <w:lang w:val="en-ID"/>
        </w:rPr>
        <w:t xml:space="preserve"> during the COVID-19 pandemic</w:t>
      </w:r>
      <w:r w:rsidRPr="00C564F2">
        <w:rPr>
          <w:lang w:val="id-ID"/>
        </w:rPr>
        <w:t xml:space="preserve"> </w:t>
      </w:r>
      <w:r w:rsidRPr="00C564F2">
        <w:rPr>
          <w:lang w:val="en-ID"/>
        </w:rPr>
        <w:t xml:space="preserve">19. </w:t>
      </w:r>
      <w:r w:rsidRPr="00C564F2">
        <w:rPr>
          <w:lang w:val="id-ID"/>
        </w:rPr>
        <w:t>The a</w:t>
      </w:r>
      <w:proofErr w:type="spellStart"/>
      <w:r w:rsidRPr="00C564F2">
        <w:rPr>
          <w:lang w:val="en-ID"/>
        </w:rPr>
        <w:t>nalysis</w:t>
      </w:r>
      <w:proofErr w:type="spellEnd"/>
      <w:r w:rsidRPr="00C564F2">
        <w:rPr>
          <w:lang w:val="en-ID"/>
        </w:rPr>
        <w:t xml:space="preserve"> using panel data regression with the </w:t>
      </w:r>
      <w:r w:rsidRPr="00C564F2">
        <w:rPr>
          <w:lang w:val="id-ID"/>
        </w:rPr>
        <w:t xml:space="preserve">following </w:t>
      </w:r>
      <w:r w:rsidRPr="00C564F2">
        <w:rPr>
          <w:lang w:val="en-ID"/>
        </w:rPr>
        <w:t>model:</w:t>
      </w:r>
    </w:p>
    <w:p w14:paraId="6AF4323E" w14:textId="77777777" w:rsidR="00AE0010" w:rsidRPr="00C564F2" w:rsidRDefault="00AE0010" w:rsidP="00AE0010">
      <w:pPr>
        <w:ind w:firstLine="450"/>
        <w:jc w:val="both"/>
        <w:rPr>
          <w:lang w:val="en-ID"/>
        </w:rPr>
      </w:pPr>
    </w:p>
    <w:p w14:paraId="3538525A" w14:textId="77777777" w:rsidR="00AE0010" w:rsidRPr="00C564F2" w:rsidRDefault="00AE0010" w:rsidP="00AE0010">
      <w:pPr>
        <w:ind w:firstLine="450"/>
        <w:jc w:val="both"/>
        <w:rPr>
          <w:lang w:val="en-ID"/>
        </w:rPr>
      </w:pPr>
      <w:proofErr w:type="spellStart"/>
      <w:r w:rsidRPr="00C564F2">
        <w:rPr>
          <w:lang w:val="en-ID"/>
        </w:rPr>
        <w:t>NPF</w:t>
      </w:r>
      <w:r w:rsidRPr="00C564F2">
        <w:rPr>
          <w:vertAlign w:val="subscript"/>
          <w:lang w:val="en-ID"/>
        </w:rPr>
        <w:t>it</w:t>
      </w:r>
      <w:proofErr w:type="spellEnd"/>
      <w:r w:rsidRPr="00C564F2">
        <w:rPr>
          <w:lang w:val="en-ID"/>
        </w:rPr>
        <w:t xml:space="preserve"> = β</w:t>
      </w:r>
      <w:r w:rsidRPr="00C564F2">
        <w:rPr>
          <w:vertAlign w:val="subscript"/>
          <w:lang w:val="en-ID"/>
        </w:rPr>
        <w:t>0</w:t>
      </w:r>
      <w:r w:rsidRPr="00C564F2">
        <w:rPr>
          <w:lang w:val="en-ID"/>
        </w:rPr>
        <w:t xml:space="preserve"> + β</w:t>
      </w:r>
      <w:r w:rsidRPr="00C564F2">
        <w:rPr>
          <w:vertAlign w:val="subscript"/>
          <w:lang w:val="en-ID"/>
        </w:rPr>
        <w:t>1</w:t>
      </w:r>
      <w:r w:rsidRPr="00C564F2">
        <w:rPr>
          <w:lang w:val="en-ID"/>
        </w:rPr>
        <w:t>Ln_Size</w:t>
      </w:r>
      <w:r w:rsidRPr="00C564F2">
        <w:rPr>
          <w:vertAlign w:val="subscript"/>
          <w:lang w:val="en-ID"/>
        </w:rPr>
        <w:t>it</w:t>
      </w:r>
      <w:r w:rsidRPr="00C564F2">
        <w:rPr>
          <w:lang w:val="en-ID"/>
        </w:rPr>
        <w:t xml:space="preserve"> + β</w:t>
      </w:r>
      <w:r w:rsidRPr="00C564F2">
        <w:rPr>
          <w:vertAlign w:val="subscript"/>
          <w:lang w:val="en-ID"/>
        </w:rPr>
        <w:t>2</w:t>
      </w:r>
      <w:r w:rsidRPr="00C564F2">
        <w:rPr>
          <w:lang w:val="en-ID"/>
        </w:rPr>
        <w:t>FDR</w:t>
      </w:r>
      <w:r w:rsidRPr="00C564F2">
        <w:rPr>
          <w:vertAlign w:val="subscript"/>
          <w:lang w:val="en-ID"/>
        </w:rPr>
        <w:t>it</w:t>
      </w:r>
      <w:r w:rsidRPr="00C564F2">
        <w:rPr>
          <w:lang w:val="en-ID"/>
        </w:rPr>
        <w:t xml:space="preserve"> + β</w:t>
      </w:r>
      <w:r w:rsidRPr="00C564F2">
        <w:rPr>
          <w:vertAlign w:val="subscript"/>
          <w:lang w:val="en-ID"/>
        </w:rPr>
        <w:t>3</w:t>
      </w:r>
      <w:r w:rsidRPr="00C564F2">
        <w:rPr>
          <w:lang w:val="en-ID"/>
        </w:rPr>
        <w:t>BOPO</w:t>
      </w:r>
      <w:r w:rsidRPr="00C564F2">
        <w:rPr>
          <w:vertAlign w:val="subscript"/>
          <w:lang w:val="en-ID"/>
        </w:rPr>
        <w:t>it</w:t>
      </w:r>
      <w:r w:rsidRPr="00C564F2">
        <w:rPr>
          <w:lang w:val="en-ID"/>
        </w:rPr>
        <w:t xml:space="preserve"> + β</w:t>
      </w:r>
      <w:r w:rsidRPr="00C564F2">
        <w:rPr>
          <w:vertAlign w:val="subscript"/>
          <w:lang w:val="en-ID"/>
        </w:rPr>
        <w:t>4</w:t>
      </w:r>
      <w:r w:rsidRPr="00C564F2">
        <w:rPr>
          <w:lang w:val="en-ID"/>
        </w:rPr>
        <w:t xml:space="preserve"> </w:t>
      </w:r>
      <w:proofErr w:type="spellStart"/>
      <w:r w:rsidRPr="00C564F2">
        <w:rPr>
          <w:lang w:val="en-ID"/>
        </w:rPr>
        <w:t>Ln_PDRB</w:t>
      </w:r>
      <w:r w:rsidRPr="00C564F2">
        <w:rPr>
          <w:vertAlign w:val="subscript"/>
          <w:lang w:val="en-ID"/>
        </w:rPr>
        <w:t>it</w:t>
      </w:r>
      <w:proofErr w:type="spellEnd"/>
      <w:r w:rsidRPr="00C564F2">
        <w:rPr>
          <w:lang w:val="en-ID"/>
        </w:rPr>
        <w:t xml:space="preserve"> + </w:t>
      </w:r>
      <w:proofErr w:type="spellStart"/>
      <w:r w:rsidRPr="00C564F2">
        <w:rPr>
          <w:lang w:val="en-ID"/>
        </w:rPr>
        <w:t>e</w:t>
      </w:r>
      <w:r w:rsidRPr="00C564F2">
        <w:rPr>
          <w:vertAlign w:val="subscript"/>
          <w:lang w:val="en-ID"/>
        </w:rPr>
        <w:t>it</w:t>
      </w:r>
      <w:proofErr w:type="spellEnd"/>
    </w:p>
    <w:p w14:paraId="4CBC28A0" w14:textId="77777777" w:rsidR="00AE0010" w:rsidRPr="00C564F2" w:rsidRDefault="00AE0010" w:rsidP="00AE0010">
      <w:pPr>
        <w:ind w:firstLine="450"/>
        <w:jc w:val="both"/>
        <w:rPr>
          <w:lang w:val="en-ID"/>
        </w:rPr>
      </w:pPr>
    </w:p>
    <w:p w14:paraId="696F6B79" w14:textId="77777777" w:rsidR="00AE0010" w:rsidRPr="00C564F2" w:rsidRDefault="00AE0010" w:rsidP="00AE0010">
      <w:pPr>
        <w:ind w:firstLine="450"/>
        <w:jc w:val="both"/>
      </w:pPr>
      <w:r w:rsidRPr="00C564F2">
        <w:t xml:space="preserve">The macroeconomic variable used is economic growth as a proxy of GRDP. The internal variables of BPR Syariah </w:t>
      </w:r>
      <w:r w:rsidRPr="00C564F2">
        <w:rPr>
          <w:lang w:val="id-ID"/>
        </w:rPr>
        <w:t>are measured by</w:t>
      </w:r>
      <w:r w:rsidRPr="00C564F2">
        <w:t xml:space="preserve"> Bank Size (Size) as proxied </w:t>
      </w:r>
      <w:r w:rsidRPr="00C564F2">
        <w:rPr>
          <w:lang w:val="id-ID"/>
        </w:rPr>
        <w:t>to</w:t>
      </w:r>
      <w:r w:rsidRPr="00C564F2">
        <w:t xml:space="preserve"> assets, </w:t>
      </w:r>
      <w:proofErr w:type="spellStart"/>
      <w:r w:rsidRPr="00C564F2">
        <w:t>Financi</w:t>
      </w:r>
      <w:proofErr w:type="spellEnd"/>
      <w:r w:rsidRPr="00C564F2">
        <w:rPr>
          <w:lang w:val="id-ID"/>
        </w:rPr>
        <w:t>ng</w:t>
      </w:r>
      <w:r w:rsidRPr="00C564F2">
        <w:t xml:space="preserve"> to Deposit Ratio (FDR), </w:t>
      </w:r>
      <w:r w:rsidRPr="00844BBA">
        <w:t>operational efficiency ratio (OER)</w:t>
      </w:r>
      <w:r>
        <w:t>.</w:t>
      </w:r>
    </w:p>
    <w:p w14:paraId="727AE9A1" w14:textId="77777777" w:rsidR="00AE0010" w:rsidRPr="00C564F2" w:rsidRDefault="00AE0010" w:rsidP="00AE0010">
      <w:pPr>
        <w:ind w:firstLine="426"/>
        <w:jc w:val="both"/>
      </w:pPr>
      <w:r w:rsidRPr="00C564F2">
        <w:t xml:space="preserve">Macroeconomic data is taken from the </w:t>
      </w:r>
      <w:r w:rsidRPr="00C564F2">
        <w:rPr>
          <w:lang w:val="id-ID"/>
        </w:rPr>
        <w:t>Badan Pusat Statistik</w:t>
      </w:r>
      <w:r w:rsidRPr="00C564F2">
        <w:t xml:space="preserve"> (BPS) and internal bank data is taken from the Banking Report published by the </w:t>
      </w:r>
      <w:r w:rsidRPr="00C564F2">
        <w:rPr>
          <w:lang w:val="id-ID"/>
        </w:rPr>
        <w:t>Otoritas Jasa Keuangan</w:t>
      </w:r>
      <w:r w:rsidRPr="00C564F2">
        <w:t xml:space="preserve"> (OJK)</w:t>
      </w:r>
      <w:r w:rsidRPr="00C564F2">
        <w:rPr>
          <w:lang w:val="id-ID"/>
        </w:rPr>
        <w:t xml:space="preserve"> as the financial authority</w:t>
      </w:r>
      <w:r w:rsidRPr="00C564F2">
        <w:t xml:space="preserve">. </w:t>
      </w:r>
      <w:r w:rsidRPr="00C564F2">
        <w:rPr>
          <w:lang w:val="id-ID"/>
        </w:rPr>
        <w:t>The</w:t>
      </w:r>
      <w:r w:rsidRPr="00C564F2">
        <w:t xml:space="preserve"> data</w:t>
      </w:r>
      <w:r w:rsidRPr="00C564F2">
        <w:rPr>
          <w:lang w:val="id-ID"/>
        </w:rPr>
        <w:t xml:space="preserve"> of this research</w:t>
      </w:r>
      <w:r w:rsidRPr="00C564F2">
        <w:t xml:space="preserve"> is </w:t>
      </w:r>
      <w:r w:rsidRPr="00C564F2">
        <w:rPr>
          <w:lang w:val="id-ID"/>
        </w:rPr>
        <w:t xml:space="preserve">using </w:t>
      </w:r>
      <w:r w:rsidRPr="00C564F2">
        <w:t xml:space="preserve">quarter data </w:t>
      </w:r>
      <w:r w:rsidRPr="00C564F2">
        <w:rPr>
          <w:lang w:val="id-ID"/>
        </w:rPr>
        <w:t>of the</w:t>
      </w:r>
      <w:r w:rsidRPr="00C564F2">
        <w:t xml:space="preserve"> 2020 </w:t>
      </w:r>
      <w:r w:rsidRPr="00C564F2">
        <w:rPr>
          <w:lang w:val="id-ID"/>
        </w:rPr>
        <w:t>when</w:t>
      </w:r>
      <w:r w:rsidRPr="00C564F2">
        <w:t xml:space="preserve"> the COVID-19 pandemic </w:t>
      </w:r>
      <w:r w:rsidRPr="00C564F2">
        <w:rPr>
          <w:lang w:val="id-ID"/>
        </w:rPr>
        <w:t xml:space="preserve">spread </w:t>
      </w:r>
      <w:r w:rsidRPr="00C564F2">
        <w:t>throughout Sharia BPR in Indonesia.</w:t>
      </w:r>
    </w:p>
    <w:p w14:paraId="4FA89227" w14:textId="77777777" w:rsidR="00EB593A" w:rsidRPr="00736C2E" w:rsidRDefault="00EB593A" w:rsidP="008B2542">
      <w:pPr>
        <w:pStyle w:val="BodyText"/>
        <w:spacing w:after="0" w:line="216" w:lineRule="auto"/>
        <w:ind w:left="426" w:hanging="426"/>
        <w:jc w:val="both"/>
        <w:rPr>
          <w:rFonts w:ascii="Centaur" w:hAnsi="Centaur"/>
          <w:sz w:val="28"/>
          <w:szCs w:val="28"/>
          <w:lang w:val="sv-SE"/>
        </w:rPr>
      </w:pPr>
    </w:p>
    <w:p w14:paraId="10FBCFB7" w14:textId="77777777" w:rsidR="00BC5BFB" w:rsidRPr="002E7A4F" w:rsidRDefault="002E7A4F" w:rsidP="008B2542">
      <w:pPr>
        <w:autoSpaceDE w:val="0"/>
        <w:autoSpaceDN w:val="0"/>
        <w:adjustRightInd w:val="0"/>
        <w:ind w:left="426" w:hanging="426"/>
        <w:jc w:val="both"/>
        <w:rPr>
          <w:rFonts w:ascii="Centaur" w:hAnsi="Centaur"/>
          <w:b/>
          <w:sz w:val="28"/>
          <w:szCs w:val="28"/>
          <w:lang w:val="it-IT"/>
        </w:rPr>
      </w:pPr>
      <w:r>
        <w:rPr>
          <w:rFonts w:ascii="Centaur" w:hAnsi="Centaur" w:cs="TimesNewRomanPS-ItalicMT"/>
          <w:b/>
          <w:sz w:val="28"/>
          <w:szCs w:val="28"/>
          <w:lang w:val="id-ID"/>
        </w:rPr>
        <w:t xml:space="preserve">D. </w:t>
      </w:r>
      <w:r>
        <w:rPr>
          <w:rFonts w:ascii="Centaur" w:hAnsi="Centaur" w:cs="TimesNewRomanPS-ItalicMT"/>
          <w:b/>
          <w:sz w:val="28"/>
          <w:szCs w:val="28"/>
          <w:lang w:val="id-ID"/>
        </w:rPr>
        <w:tab/>
        <w:t>RESULTS AND DISCUSSION</w:t>
      </w:r>
    </w:p>
    <w:p w14:paraId="744687CB" w14:textId="77777777" w:rsidR="00AE0010" w:rsidRPr="00C564F2" w:rsidRDefault="00AE0010" w:rsidP="00AE0010">
      <w:pPr>
        <w:ind w:firstLine="450"/>
        <w:jc w:val="both"/>
        <w:rPr>
          <w:bCs/>
        </w:rPr>
      </w:pPr>
      <w:r w:rsidRPr="00C564F2">
        <w:rPr>
          <w:bCs/>
        </w:rPr>
        <w:t xml:space="preserve">Table 2. describes the descriptive statistics of all the variables involved. The average NPF at </w:t>
      </w:r>
      <w:r>
        <w:rPr>
          <w:bCs/>
        </w:rPr>
        <w:t>IRB</w:t>
      </w:r>
      <w:r w:rsidRPr="00C564F2">
        <w:rPr>
          <w:bCs/>
        </w:rPr>
        <w:t xml:space="preserve"> during 2020 was 9.14% with standard deviation of 7.84%. The average NPF is still very high from the standard set by Bank Indonesia, which is 5%. </w:t>
      </w:r>
      <w:r w:rsidRPr="00C564F2">
        <w:rPr>
          <w:bCs/>
        </w:rPr>
        <w:lastRenderedPageBreak/>
        <w:t xml:space="preserve">This shows that during 2020 (during the covid-19 pandemic) the financing conditions of </w:t>
      </w:r>
      <w:r>
        <w:rPr>
          <w:bCs/>
        </w:rPr>
        <w:t>IRB</w:t>
      </w:r>
      <w:r w:rsidRPr="00C564F2">
        <w:rPr>
          <w:bCs/>
        </w:rPr>
        <w:t xml:space="preserve"> were underperformed.</w:t>
      </w:r>
    </w:p>
    <w:p w14:paraId="50D45D2C" w14:textId="77777777" w:rsidR="00AE0010" w:rsidRPr="00C564F2" w:rsidRDefault="00AE0010" w:rsidP="00AE0010">
      <w:pPr>
        <w:ind w:firstLine="450"/>
        <w:jc w:val="both"/>
        <w:rPr>
          <w:bCs/>
          <w:lang w:val="en-ID"/>
        </w:rPr>
      </w:pPr>
      <w:r w:rsidRPr="00C564F2">
        <w:rPr>
          <w:bCs/>
          <w:lang w:val="en-ID"/>
        </w:rPr>
        <w:t xml:space="preserve">The average bank size (size) is Rp. 95.25 billion (ln. 9.14). The highest bank size is Rp. 1.31 trillion (ln. 21.01) and the lowest was Rp. 3.47 billion (ln. 15.06). The average FDR is 96.29% and the highest is 646.2%. The average BOPO is 83.91%. A high BOPO indicates the inefficiency of </w:t>
      </w:r>
      <w:r>
        <w:rPr>
          <w:bCs/>
          <w:lang w:val="en-ID"/>
        </w:rPr>
        <w:t>IRB.</w:t>
      </w:r>
    </w:p>
    <w:p w14:paraId="7E074682" w14:textId="77777777" w:rsidR="00AE0010" w:rsidRPr="00C564F2" w:rsidRDefault="00AE0010" w:rsidP="00AE0010">
      <w:pPr>
        <w:jc w:val="center"/>
        <w:rPr>
          <w:b/>
          <w:lang w:val="en-ID"/>
        </w:rPr>
      </w:pPr>
    </w:p>
    <w:p w14:paraId="7828EE25" w14:textId="77777777" w:rsidR="00AE0010" w:rsidRPr="00C564F2" w:rsidRDefault="00AE0010" w:rsidP="00AE0010">
      <w:pPr>
        <w:jc w:val="center"/>
        <w:rPr>
          <w:b/>
          <w:lang w:val="id-ID"/>
        </w:rPr>
      </w:pPr>
      <w:proofErr w:type="spellStart"/>
      <w:r w:rsidRPr="00C564F2">
        <w:rPr>
          <w:b/>
          <w:lang w:val="en-ID"/>
        </w:rPr>
        <w:t>Tabel</w:t>
      </w:r>
      <w:proofErr w:type="spellEnd"/>
      <w:r w:rsidRPr="00C564F2">
        <w:rPr>
          <w:b/>
          <w:lang w:val="en-ID"/>
        </w:rPr>
        <w:t xml:space="preserve"> 2. </w:t>
      </w:r>
      <w:r w:rsidRPr="00C564F2">
        <w:rPr>
          <w:b/>
          <w:lang w:val="id-ID"/>
        </w:rPr>
        <w:t>Descriptive Statistics</w:t>
      </w:r>
    </w:p>
    <w:tbl>
      <w:tblPr>
        <w:tblW w:w="0" w:type="auto"/>
        <w:tblBorders>
          <w:top w:val="single" w:sz="4" w:space="0" w:color="7F7F7F"/>
          <w:bottom w:val="single" w:sz="4" w:space="0" w:color="7F7F7F"/>
        </w:tblBorders>
        <w:tblLook w:val="04A0" w:firstRow="1" w:lastRow="0" w:firstColumn="1" w:lastColumn="0" w:noHBand="0" w:noVBand="1"/>
      </w:tblPr>
      <w:tblGrid>
        <w:gridCol w:w="1284"/>
        <w:gridCol w:w="1284"/>
        <w:gridCol w:w="1284"/>
        <w:gridCol w:w="1284"/>
        <w:gridCol w:w="1284"/>
        <w:gridCol w:w="1285"/>
      </w:tblGrid>
      <w:tr w:rsidR="00AE0010" w:rsidRPr="00C564F2" w14:paraId="61BF96CC" w14:textId="77777777" w:rsidTr="00E122A5">
        <w:tc>
          <w:tcPr>
            <w:tcW w:w="1284" w:type="dxa"/>
            <w:tcBorders>
              <w:bottom w:val="single" w:sz="4" w:space="0" w:color="7F7F7F"/>
            </w:tcBorders>
            <w:shd w:val="clear" w:color="auto" w:fill="auto"/>
          </w:tcPr>
          <w:p w14:paraId="55450AA2" w14:textId="77777777" w:rsidR="00AE0010" w:rsidRPr="00C564F2" w:rsidRDefault="00AE0010" w:rsidP="00E122A5">
            <w:pPr>
              <w:jc w:val="center"/>
              <w:rPr>
                <w:b/>
                <w:bCs/>
                <w:lang w:val="en-ID"/>
              </w:rPr>
            </w:pPr>
            <w:proofErr w:type="spellStart"/>
            <w:r w:rsidRPr="00C564F2">
              <w:rPr>
                <w:b/>
                <w:bCs/>
                <w:lang w:val="en-ID"/>
              </w:rPr>
              <w:t>Variabel</w:t>
            </w:r>
            <w:proofErr w:type="spellEnd"/>
          </w:p>
        </w:tc>
        <w:tc>
          <w:tcPr>
            <w:tcW w:w="1284" w:type="dxa"/>
            <w:tcBorders>
              <w:bottom w:val="single" w:sz="4" w:space="0" w:color="7F7F7F"/>
            </w:tcBorders>
            <w:shd w:val="clear" w:color="auto" w:fill="auto"/>
          </w:tcPr>
          <w:p w14:paraId="54B5D92B" w14:textId="77777777" w:rsidR="00AE0010" w:rsidRPr="00C564F2" w:rsidRDefault="00AE0010" w:rsidP="00E122A5">
            <w:pPr>
              <w:jc w:val="center"/>
              <w:rPr>
                <w:b/>
                <w:bCs/>
                <w:lang w:val="en-ID"/>
              </w:rPr>
            </w:pPr>
            <w:r w:rsidRPr="00C564F2">
              <w:rPr>
                <w:b/>
                <w:bCs/>
                <w:lang w:val="en-ID"/>
              </w:rPr>
              <w:t>Mean</w:t>
            </w:r>
          </w:p>
        </w:tc>
        <w:tc>
          <w:tcPr>
            <w:tcW w:w="1284" w:type="dxa"/>
            <w:tcBorders>
              <w:bottom w:val="single" w:sz="4" w:space="0" w:color="7F7F7F"/>
            </w:tcBorders>
            <w:shd w:val="clear" w:color="auto" w:fill="auto"/>
          </w:tcPr>
          <w:p w14:paraId="5F592B2C" w14:textId="77777777" w:rsidR="00AE0010" w:rsidRPr="00C564F2" w:rsidRDefault="00AE0010" w:rsidP="00E122A5">
            <w:pPr>
              <w:jc w:val="center"/>
              <w:rPr>
                <w:b/>
                <w:bCs/>
                <w:lang w:val="en-ID"/>
              </w:rPr>
            </w:pPr>
            <w:r w:rsidRPr="00C564F2">
              <w:rPr>
                <w:b/>
                <w:bCs/>
                <w:lang w:val="en-ID"/>
              </w:rPr>
              <w:t>Median</w:t>
            </w:r>
          </w:p>
        </w:tc>
        <w:tc>
          <w:tcPr>
            <w:tcW w:w="1284" w:type="dxa"/>
            <w:tcBorders>
              <w:bottom w:val="single" w:sz="4" w:space="0" w:color="7F7F7F"/>
            </w:tcBorders>
            <w:shd w:val="clear" w:color="auto" w:fill="auto"/>
          </w:tcPr>
          <w:p w14:paraId="7ADA2E0B" w14:textId="77777777" w:rsidR="00AE0010" w:rsidRPr="00C564F2" w:rsidRDefault="00AE0010" w:rsidP="00E122A5">
            <w:pPr>
              <w:jc w:val="center"/>
              <w:rPr>
                <w:b/>
                <w:bCs/>
                <w:lang w:val="en-ID"/>
              </w:rPr>
            </w:pPr>
            <w:r w:rsidRPr="00C564F2">
              <w:rPr>
                <w:b/>
                <w:bCs/>
                <w:lang w:val="en-ID"/>
              </w:rPr>
              <w:t>Minimum</w:t>
            </w:r>
          </w:p>
        </w:tc>
        <w:tc>
          <w:tcPr>
            <w:tcW w:w="1284" w:type="dxa"/>
            <w:tcBorders>
              <w:bottom w:val="single" w:sz="4" w:space="0" w:color="7F7F7F"/>
            </w:tcBorders>
            <w:shd w:val="clear" w:color="auto" w:fill="auto"/>
          </w:tcPr>
          <w:p w14:paraId="1F254DE4" w14:textId="77777777" w:rsidR="00AE0010" w:rsidRPr="00C564F2" w:rsidRDefault="00AE0010" w:rsidP="00E122A5">
            <w:pPr>
              <w:jc w:val="center"/>
              <w:rPr>
                <w:b/>
                <w:bCs/>
                <w:lang w:val="en-ID"/>
              </w:rPr>
            </w:pPr>
            <w:proofErr w:type="spellStart"/>
            <w:r w:rsidRPr="00C564F2">
              <w:rPr>
                <w:b/>
                <w:bCs/>
                <w:lang w:val="en-ID"/>
              </w:rPr>
              <w:t>Maximun</w:t>
            </w:r>
            <w:proofErr w:type="spellEnd"/>
          </w:p>
        </w:tc>
        <w:tc>
          <w:tcPr>
            <w:tcW w:w="1285" w:type="dxa"/>
            <w:tcBorders>
              <w:bottom w:val="single" w:sz="4" w:space="0" w:color="7F7F7F"/>
            </w:tcBorders>
            <w:shd w:val="clear" w:color="auto" w:fill="auto"/>
          </w:tcPr>
          <w:p w14:paraId="7529DAE6" w14:textId="77777777" w:rsidR="00AE0010" w:rsidRPr="00C564F2" w:rsidRDefault="00AE0010" w:rsidP="00E122A5">
            <w:pPr>
              <w:jc w:val="center"/>
              <w:rPr>
                <w:b/>
                <w:bCs/>
                <w:lang w:val="en-ID"/>
              </w:rPr>
            </w:pPr>
            <w:r w:rsidRPr="00C564F2">
              <w:rPr>
                <w:b/>
                <w:bCs/>
                <w:lang w:val="en-ID"/>
              </w:rPr>
              <w:t>Std. Dev</w:t>
            </w:r>
          </w:p>
        </w:tc>
      </w:tr>
      <w:tr w:rsidR="00AE0010" w:rsidRPr="00C564F2" w14:paraId="3EB79316" w14:textId="77777777" w:rsidTr="00E122A5">
        <w:tc>
          <w:tcPr>
            <w:tcW w:w="1284" w:type="dxa"/>
            <w:tcBorders>
              <w:top w:val="single" w:sz="4" w:space="0" w:color="7F7F7F"/>
              <w:bottom w:val="single" w:sz="4" w:space="0" w:color="7F7F7F"/>
            </w:tcBorders>
            <w:shd w:val="clear" w:color="auto" w:fill="auto"/>
          </w:tcPr>
          <w:p w14:paraId="0E090A05" w14:textId="77777777" w:rsidR="00AE0010" w:rsidRPr="00C564F2" w:rsidRDefault="00AE0010" w:rsidP="00E122A5">
            <w:pPr>
              <w:jc w:val="both"/>
              <w:rPr>
                <w:bCs/>
                <w:lang w:val="en-ID"/>
              </w:rPr>
            </w:pPr>
            <w:r w:rsidRPr="00C564F2">
              <w:rPr>
                <w:bCs/>
                <w:lang w:val="en-ID"/>
              </w:rPr>
              <w:t>NPF</w:t>
            </w:r>
          </w:p>
        </w:tc>
        <w:tc>
          <w:tcPr>
            <w:tcW w:w="1284" w:type="dxa"/>
            <w:tcBorders>
              <w:top w:val="single" w:sz="4" w:space="0" w:color="7F7F7F"/>
              <w:bottom w:val="single" w:sz="4" w:space="0" w:color="7F7F7F"/>
            </w:tcBorders>
            <w:shd w:val="clear" w:color="auto" w:fill="auto"/>
          </w:tcPr>
          <w:p w14:paraId="0BD2299A" w14:textId="77777777" w:rsidR="00AE0010" w:rsidRPr="00C564F2" w:rsidRDefault="00AE0010" w:rsidP="00E122A5">
            <w:pPr>
              <w:jc w:val="center"/>
              <w:rPr>
                <w:bCs/>
                <w:lang w:val="en-ID"/>
              </w:rPr>
            </w:pPr>
            <w:r w:rsidRPr="00C564F2">
              <w:rPr>
                <w:bCs/>
                <w:lang w:val="en-ID"/>
              </w:rPr>
              <w:t>9.14</w:t>
            </w:r>
          </w:p>
        </w:tc>
        <w:tc>
          <w:tcPr>
            <w:tcW w:w="1284" w:type="dxa"/>
            <w:tcBorders>
              <w:top w:val="single" w:sz="4" w:space="0" w:color="7F7F7F"/>
              <w:bottom w:val="single" w:sz="4" w:space="0" w:color="7F7F7F"/>
            </w:tcBorders>
            <w:shd w:val="clear" w:color="auto" w:fill="auto"/>
          </w:tcPr>
          <w:p w14:paraId="1892ACE0" w14:textId="77777777" w:rsidR="00AE0010" w:rsidRPr="00C564F2" w:rsidRDefault="00AE0010" w:rsidP="00E122A5">
            <w:pPr>
              <w:jc w:val="center"/>
              <w:rPr>
                <w:bCs/>
                <w:lang w:val="en-ID"/>
              </w:rPr>
            </w:pPr>
            <w:r w:rsidRPr="00C564F2">
              <w:rPr>
                <w:bCs/>
                <w:lang w:val="en-ID"/>
              </w:rPr>
              <w:t>6.58</w:t>
            </w:r>
          </w:p>
        </w:tc>
        <w:tc>
          <w:tcPr>
            <w:tcW w:w="1284" w:type="dxa"/>
            <w:tcBorders>
              <w:top w:val="single" w:sz="4" w:space="0" w:color="7F7F7F"/>
              <w:bottom w:val="single" w:sz="4" w:space="0" w:color="7F7F7F"/>
            </w:tcBorders>
            <w:shd w:val="clear" w:color="auto" w:fill="auto"/>
          </w:tcPr>
          <w:p w14:paraId="4DFEBC21" w14:textId="77777777" w:rsidR="00AE0010" w:rsidRPr="00C564F2" w:rsidRDefault="00AE0010" w:rsidP="00E122A5">
            <w:pPr>
              <w:jc w:val="center"/>
              <w:rPr>
                <w:bCs/>
                <w:lang w:val="en-ID"/>
              </w:rPr>
            </w:pPr>
            <w:r w:rsidRPr="00C564F2">
              <w:rPr>
                <w:bCs/>
                <w:lang w:val="en-ID"/>
              </w:rPr>
              <w:t>0.000</w:t>
            </w:r>
          </w:p>
        </w:tc>
        <w:tc>
          <w:tcPr>
            <w:tcW w:w="1284" w:type="dxa"/>
            <w:tcBorders>
              <w:top w:val="single" w:sz="4" w:space="0" w:color="7F7F7F"/>
              <w:bottom w:val="single" w:sz="4" w:space="0" w:color="7F7F7F"/>
            </w:tcBorders>
            <w:shd w:val="clear" w:color="auto" w:fill="auto"/>
          </w:tcPr>
          <w:p w14:paraId="40842504" w14:textId="77777777" w:rsidR="00AE0010" w:rsidRPr="00C564F2" w:rsidRDefault="00AE0010" w:rsidP="00E122A5">
            <w:pPr>
              <w:jc w:val="center"/>
              <w:rPr>
                <w:bCs/>
                <w:lang w:val="en-ID"/>
              </w:rPr>
            </w:pPr>
            <w:r w:rsidRPr="00C564F2">
              <w:rPr>
                <w:bCs/>
                <w:lang w:val="en-ID"/>
              </w:rPr>
              <w:t>48.61</w:t>
            </w:r>
          </w:p>
        </w:tc>
        <w:tc>
          <w:tcPr>
            <w:tcW w:w="1285" w:type="dxa"/>
            <w:tcBorders>
              <w:top w:val="single" w:sz="4" w:space="0" w:color="7F7F7F"/>
              <w:bottom w:val="single" w:sz="4" w:space="0" w:color="7F7F7F"/>
            </w:tcBorders>
            <w:shd w:val="clear" w:color="auto" w:fill="auto"/>
          </w:tcPr>
          <w:p w14:paraId="288CDAEE" w14:textId="77777777" w:rsidR="00AE0010" w:rsidRPr="00C564F2" w:rsidRDefault="00AE0010" w:rsidP="00E122A5">
            <w:pPr>
              <w:jc w:val="center"/>
              <w:rPr>
                <w:bCs/>
                <w:lang w:val="en-ID"/>
              </w:rPr>
            </w:pPr>
            <w:r w:rsidRPr="00C564F2">
              <w:rPr>
                <w:bCs/>
                <w:lang w:val="en-ID"/>
              </w:rPr>
              <w:t>7.84</w:t>
            </w:r>
          </w:p>
        </w:tc>
      </w:tr>
      <w:tr w:rsidR="00AE0010" w:rsidRPr="00C564F2" w14:paraId="5CFC6ADD" w14:textId="77777777" w:rsidTr="00E122A5">
        <w:tc>
          <w:tcPr>
            <w:tcW w:w="1284" w:type="dxa"/>
            <w:shd w:val="clear" w:color="auto" w:fill="auto"/>
          </w:tcPr>
          <w:p w14:paraId="2392766E" w14:textId="77777777" w:rsidR="00AE0010" w:rsidRPr="00C564F2" w:rsidRDefault="00AE0010" w:rsidP="00E122A5">
            <w:pPr>
              <w:jc w:val="both"/>
              <w:rPr>
                <w:bCs/>
                <w:lang w:val="en-ID"/>
              </w:rPr>
            </w:pPr>
            <w:proofErr w:type="spellStart"/>
            <w:r w:rsidRPr="00C564F2">
              <w:rPr>
                <w:bCs/>
                <w:lang w:val="en-ID"/>
              </w:rPr>
              <w:t>Ln_Size</w:t>
            </w:r>
            <w:proofErr w:type="spellEnd"/>
          </w:p>
        </w:tc>
        <w:tc>
          <w:tcPr>
            <w:tcW w:w="1284" w:type="dxa"/>
            <w:shd w:val="clear" w:color="auto" w:fill="auto"/>
          </w:tcPr>
          <w:p w14:paraId="44D61FB8" w14:textId="77777777" w:rsidR="00AE0010" w:rsidRPr="00C564F2" w:rsidRDefault="00AE0010" w:rsidP="00E122A5">
            <w:pPr>
              <w:jc w:val="center"/>
              <w:rPr>
                <w:bCs/>
                <w:lang w:val="en-ID"/>
              </w:rPr>
            </w:pPr>
            <w:r w:rsidRPr="00C564F2">
              <w:rPr>
                <w:bCs/>
                <w:lang w:val="en-ID"/>
              </w:rPr>
              <w:t>17.65</w:t>
            </w:r>
          </w:p>
        </w:tc>
        <w:tc>
          <w:tcPr>
            <w:tcW w:w="1284" w:type="dxa"/>
            <w:shd w:val="clear" w:color="auto" w:fill="auto"/>
          </w:tcPr>
          <w:p w14:paraId="658BB3CD" w14:textId="77777777" w:rsidR="00AE0010" w:rsidRPr="00C564F2" w:rsidRDefault="00AE0010" w:rsidP="00E122A5">
            <w:pPr>
              <w:jc w:val="center"/>
              <w:rPr>
                <w:bCs/>
                <w:lang w:val="en-ID"/>
              </w:rPr>
            </w:pPr>
            <w:r w:rsidRPr="00C564F2">
              <w:rPr>
                <w:bCs/>
                <w:lang w:val="en-ID"/>
              </w:rPr>
              <w:t>17.58</w:t>
            </w:r>
          </w:p>
        </w:tc>
        <w:tc>
          <w:tcPr>
            <w:tcW w:w="1284" w:type="dxa"/>
            <w:shd w:val="clear" w:color="auto" w:fill="auto"/>
          </w:tcPr>
          <w:p w14:paraId="3B7DB722" w14:textId="77777777" w:rsidR="00AE0010" w:rsidRPr="00C564F2" w:rsidRDefault="00AE0010" w:rsidP="00E122A5">
            <w:pPr>
              <w:jc w:val="center"/>
              <w:rPr>
                <w:bCs/>
                <w:lang w:val="en-ID"/>
              </w:rPr>
            </w:pPr>
            <w:r w:rsidRPr="00C564F2">
              <w:rPr>
                <w:bCs/>
                <w:lang w:val="en-ID"/>
              </w:rPr>
              <w:t>15.06</w:t>
            </w:r>
          </w:p>
        </w:tc>
        <w:tc>
          <w:tcPr>
            <w:tcW w:w="1284" w:type="dxa"/>
            <w:shd w:val="clear" w:color="auto" w:fill="auto"/>
          </w:tcPr>
          <w:p w14:paraId="60E77043" w14:textId="77777777" w:rsidR="00AE0010" w:rsidRPr="00C564F2" w:rsidRDefault="00AE0010" w:rsidP="00E122A5">
            <w:pPr>
              <w:jc w:val="center"/>
              <w:rPr>
                <w:bCs/>
                <w:lang w:val="en-ID"/>
              </w:rPr>
            </w:pPr>
            <w:r w:rsidRPr="00C564F2">
              <w:rPr>
                <w:bCs/>
                <w:lang w:val="en-ID"/>
              </w:rPr>
              <w:t>21.01</w:t>
            </w:r>
          </w:p>
        </w:tc>
        <w:tc>
          <w:tcPr>
            <w:tcW w:w="1285" w:type="dxa"/>
            <w:shd w:val="clear" w:color="auto" w:fill="auto"/>
          </w:tcPr>
          <w:p w14:paraId="29CA9D2C" w14:textId="77777777" w:rsidR="00AE0010" w:rsidRPr="00C564F2" w:rsidRDefault="00AE0010" w:rsidP="00E122A5">
            <w:pPr>
              <w:jc w:val="center"/>
              <w:rPr>
                <w:bCs/>
                <w:lang w:val="en-ID"/>
              </w:rPr>
            </w:pPr>
            <w:r w:rsidRPr="00C564F2">
              <w:rPr>
                <w:bCs/>
                <w:lang w:val="en-ID"/>
              </w:rPr>
              <w:t>1.12</w:t>
            </w:r>
          </w:p>
        </w:tc>
      </w:tr>
      <w:tr w:rsidR="00AE0010" w:rsidRPr="00C564F2" w14:paraId="25027D18" w14:textId="77777777" w:rsidTr="00E122A5">
        <w:tc>
          <w:tcPr>
            <w:tcW w:w="1284" w:type="dxa"/>
            <w:tcBorders>
              <w:top w:val="single" w:sz="4" w:space="0" w:color="7F7F7F"/>
              <w:bottom w:val="single" w:sz="4" w:space="0" w:color="7F7F7F"/>
            </w:tcBorders>
            <w:shd w:val="clear" w:color="auto" w:fill="auto"/>
          </w:tcPr>
          <w:p w14:paraId="5A9C7DDF" w14:textId="77777777" w:rsidR="00AE0010" w:rsidRPr="00C564F2" w:rsidRDefault="00AE0010" w:rsidP="00E122A5">
            <w:pPr>
              <w:jc w:val="both"/>
              <w:rPr>
                <w:bCs/>
                <w:lang w:val="en-ID"/>
              </w:rPr>
            </w:pPr>
            <w:r w:rsidRPr="00C564F2">
              <w:rPr>
                <w:bCs/>
                <w:lang w:val="en-ID"/>
              </w:rPr>
              <w:t>FDR</w:t>
            </w:r>
          </w:p>
        </w:tc>
        <w:tc>
          <w:tcPr>
            <w:tcW w:w="1284" w:type="dxa"/>
            <w:tcBorders>
              <w:top w:val="single" w:sz="4" w:space="0" w:color="7F7F7F"/>
              <w:bottom w:val="single" w:sz="4" w:space="0" w:color="7F7F7F"/>
            </w:tcBorders>
            <w:shd w:val="clear" w:color="auto" w:fill="auto"/>
          </w:tcPr>
          <w:p w14:paraId="4095A8D5" w14:textId="77777777" w:rsidR="00AE0010" w:rsidRPr="00C564F2" w:rsidRDefault="00AE0010" w:rsidP="00E122A5">
            <w:pPr>
              <w:jc w:val="center"/>
              <w:rPr>
                <w:bCs/>
                <w:lang w:val="en-ID"/>
              </w:rPr>
            </w:pPr>
            <w:r w:rsidRPr="00C564F2">
              <w:rPr>
                <w:bCs/>
                <w:lang w:val="en-ID"/>
              </w:rPr>
              <w:t>95.29</w:t>
            </w:r>
          </w:p>
        </w:tc>
        <w:tc>
          <w:tcPr>
            <w:tcW w:w="1284" w:type="dxa"/>
            <w:tcBorders>
              <w:top w:val="single" w:sz="4" w:space="0" w:color="7F7F7F"/>
              <w:bottom w:val="single" w:sz="4" w:space="0" w:color="7F7F7F"/>
            </w:tcBorders>
            <w:shd w:val="clear" w:color="auto" w:fill="auto"/>
          </w:tcPr>
          <w:p w14:paraId="487ABE88" w14:textId="77777777" w:rsidR="00AE0010" w:rsidRPr="00C564F2" w:rsidRDefault="00AE0010" w:rsidP="00E122A5">
            <w:pPr>
              <w:jc w:val="center"/>
              <w:rPr>
                <w:bCs/>
                <w:lang w:val="en-ID"/>
              </w:rPr>
            </w:pPr>
            <w:r w:rsidRPr="00C564F2">
              <w:rPr>
                <w:bCs/>
                <w:lang w:val="en-ID"/>
              </w:rPr>
              <w:t>89.55</w:t>
            </w:r>
          </w:p>
        </w:tc>
        <w:tc>
          <w:tcPr>
            <w:tcW w:w="1284" w:type="dxa"/>
            <w:tcBorders>
              <w:top w:val="single" w:sz="4" w:space="0" w:color="7F7F7F"/>
              <w:bottom w:val="single" w:sz="4" w:space="0" w:color="7F7F7F"/>
            </w:tcBorders>
            <w:shd w:val="clear" w:color="auto" w:fill="auto"/>
          </w:tcPr>
          <w:p w14:paraId="27EC485E" w14:textId="77777777" w:rsidR="00AE0010" w:rsidRPr="00C564F2" w:rsidRDefault="00AE0010" w:rsidP="00E122A5">
            <w:pPr>
              <w:jc w:val="center"/>
              <w:rPr>
                <w:bCs/>
                <w:lang w:val="en-ID"/>
              </w:rPr>
            </w:pPr>
            <w:r w:rsidRPr="00C564F2">
              <w:rPr>
                <w:bCs/>
                <w:lang w:val="en-ID"/>
              </w:rPr>
              <w:t>0.79</w:t>
            </w:r>
          </w:p>
        </w:tc>
        <w:tc>
          <w:tcPr>
            <w:tcW w:w="1284" w:type="dxa"/>
            <w:tcBorders>
              <w:top w:val="single" w:sz="4" w:space="0" w:color="7F7F7F"/>
              <w:bottom w:val="single" w:sz="4" w:space="0" w:color="7F7F7F"/>
            </w:tcBorders>
            <w:shd w:val="clear" w:color="auto" w:fill="auto"/>
          </w:tcPr>
          <w:p w14:paraId="2EA0F346" w14:textId="77777777" w:rsidR="00AE0010" w:rsidRPr="00C564F2" w:rsidRDefault="00AE0010" w:rsidP="00E122A5">
            <w:pPr>
              <w:jc w:val="center"/>
              <w:rPr>
                <w:bCs/>
                <w:lang w:val="en-ID"/>
              </w:rPr>
            </w:pPr>
            <w:r w:rsidRPr="00C564F2">
              <w:rPr>
                <w:bCs/>
                <w:lang w:val="en-ID"/>
              </w:rPr>
              <w:t>646.2</w:t>
            </w:r>
          </w:p>
        </w:tc>
        <w:tc>
          <w:tcPr>
            <w:tcW w:w="1285" w:type="dxa"/>
            <w:tcBorders>
              <w:top w:val="single" w:sz="4" w:space="0" w:color="7F7F7F"/>
              <w:bottom w:val="single" w:sz="4" w:space="0" w:color="7F7F7F"/>
            </w:tcBorders>
            <w:shd w:val="clear" w:color="auto" w:fill="auto"/>
          </w:tcPr>
          <w:p w14:paraId="6FA195F3" w14:textId="77777777" w:rsidR="00AE0010" w:rsidRPr="00C564F2" w:rsidRDefault="00AE0010" w:rsidP="00E122A5">
            <w:pPr>
              <w:jc w:val="center"/>
              <w:rPr>
                <w:bCs/>
                <w:lang w:val="en-ID"/>
              </w:rPr>
            </w:pPr>
            <w:r w:rsidRPr="00C564F2">
              <w:rPr>
                <w:bCs/>
                <w:lang w:val="en-ID"/>
              </w:rPr>
              <w:t>44.49</w:t>
            </w:r>
          </w:p>
        </w:tc>
      </w:tr>
      <w:tr w:rsidR="00AE0010" w:rsidRPr="00C564F2" w14:paraId="59455127" w14:textId="77777777" w:rsidTr="00E122A5">
        <w:tc>
          <w:tcPr>
            <w:tcW w:w="1284" w:type="dxa"/>
            <w:shd w:val="clear" w:color="auto" w:fill="auto"/>
          </w:tcPr>
          <w:p w14:paraId="6B85D842" w14:textId="77777777" w:rsidR="00AE0010" w:rsidRPr="00C564F2" w:rsidRDefault="00AE0010" w:rsidP="00E122A5">
            <w:pPr>
              <w:jc w:val="both"/>
              <w:rPr>
                <w:bCs/>
                <w:lang w:val="en-ID"/>
              </w:rPr>
            </w:pPr>
            <w:r w:rsidRPr="00C564F2">
              <w:rPr>
                <w:bCs/>
                <w:lang w:val="en-ID"/>
              </w:rPr>
              <w:t>BOPO</w:t>
            </w:r>
          </w:p>
        </w:tc>
        <w:tc>
          <w:tcPr>
            <w:tcW w:w="1284" w:type="dxa"/>
            <w:shd w:val="clear" w:color="auto" w:fill="auto"/>
          </w:tcPr>
          <w:p w14:paraId="08C65451" w14:textId="77777777" w:rsidR="00AE0010" w:rsidRPr="00C564F2" w:rsidRDefault="00AE0010" w:rsidP="00E122A5">
            <w:pPr>
              <w:jc w:val="center"/>
              <w:rPr>
                <w:bCs/>
                <w:lang w:val="en-ID"/>
              </w:rPr>
            </w:pPr>
            <w:r w:rsidRPr="00C564F2">
              <w:rPr>
                <w:bCs/>
                <w:lang w:val="en-ID"/>
              </w:rPr>
              <w:t>83.91</w:t>
            </w:r>
          </w:p>
        </w:tc>
        <w:tc>
          <w:tcPr>
            <w:tcW w:w="1284" w:type="dxa"/>
            <w:shd w:val="clear" w:color="auto" w:fill="auto"/>
          </w:tcPr>
          <w:p w14:paraId="3B9D501D" w14:textId="77777777" w:rsidR="00AE0010" w:rsidRPr="00C564F2" w:rsidRDefault="00AE0010" w:rsidP="00E122A5">
            <w:pPr>
              <w:jc w:val="center"/>
              <w:rPr>
                <w:bCs/>
                <w:lang w:val="en-ID"/>
              </w:rPr>
            </w:pPr>
            <w:r w:rsidRPr="00C564F2">
              <w:rPr>
                <w:bCs/>
                <w:lang w:val="en-ID"/>
              </w:rPr>
              <w:t>86.06</w:t>
            </w:r>
          </w:p>
        </w:tc>
        <w:tc>
          <w:tcPr>
            <w:tcW w:w="1284" w:type="dxa"/>
            <w:shd w:val="clear" w:color="auto" w:fill="auto"/>
          </w:tcPr>
          <w:p w14:paraId="1D173437" w14:textId="77777777" w:rsidR="00AE0010" w:rsidRPr="00C564F2" w:rsidRDefault="00AE0010" w:rsidP="00E122A5">
            <w:pPr>
              <w:jc w:val="center"/>
              <w:rPr>
                <w:bCs/>
                <w:lang w:val="en-ID"/>
              </w:rPr>
            </w:pPr>
            <w:r w:rsidRPr="00C564F2">
              <w:rPr>
                <w:bCs/>
                <w:lang w:val="en-ID"/>
              </w:rPr>
              <w:t>-3092</w:t>
            </w:r>
          </w:p>
        </w:tc>
        <w:tc>
          <w:tcPr>
            <w:tcW w:w="1284" w:type="dxa"/>
            <w:shd w:val="clear" w:color="auto" w:fill="auto"/>
          </w:tcPr>
          <w:p w14:paraId="1E3AE6FE" w14:textId="77777777" w:rsidR="00AE0010" w:rsidRPr="00C564F2" w:rsidRDefault="00AE0010" w:rsidP="00E122A5">
            <w:pPr>
              <w:jc w:val="center"/>
              <w:rPr>
                <w:bCs/>
                <w:lang w:val="en-ID"/>
              </w:rPr>
            </w:pPr>
            <w:r w:rsidRPr="00C564F2">
              <w:rPr>
                <w:bCs/>
                <w:lang w:val="en-ID"/>
              </w:rPr>
              <w:t>704.4</w:t>
            </w:r>
          </w:p>
        </w:tc>
        <w:tc>
          <w:tcPr>
            <w:tcW w:w="1285" w:type="dxa"/>
            <w:shd w:val="clear" w:color="auto" w:fill="auto"/>
          </w:tcPr>
          <w:p w14:paraId="54BC5CEA" w14:textId="77777777" w:rsidR="00AE0010" w:rsidRPr="00C564F2" w:rsidRDefault="00AE0010" w:rsidP="00E122A5">
            <w:pPr>
              <w:jc w:val="center"/>
              <w:rPr>
                <w:bCs/>
                <w:lang w:val="en-ID"/>
              </w:rPr>
            </w:pPr>
            <w:r w:rsidRPr="00C564F2">
              <w:rPr>
                <w:bCs/>
                <w:lang w:val="en-ID"/>
              </w:rPr>
              <w:t>146.29</w:t>
            </w:r>
          </w:p>
        </w:tc>
      </w:tr>
      <w:tr w:rsidR="00AE0010" w:rsidRPr="00C564F2" w14:paraId="7745EE0C" w14:textId="77777777" w:rsidTr="00E122A5">
        <w:tc>
          <w:tcPr>
            <w:tcW w:w="1284" w:type="dxa"/>
            <w:tcBorders>
              <w:top w:val="single" w:sz="4" w:space="0" w:color="7F7F7F"/>
              <w:bottom w:val="single" w:sz="4" w:space="0" w:color="7F7F7F"/>
            </w:tcBorders>
            <w:shd w:val="clear" w:color="auto" w:fill="auto"/>
          </w:tcPr>
          <w:p w14:paraId="53471E55" w14:textId="77777777" w:rsidR="00AE0010" w:rsidRPr="00C564F2" w:rsidRDefault="00AE0010" w:rsidP="00E122A5">
            <w:pPr>
              <w:jc w:val="both"/>
              <w:rPr>
                <w:bCs/>
                <w:lang w:val="en-ID"/>
              </w:rPr>
            </w:pPr>
            <w:proofErr w:type="spellStart"/>
            <w:r w:rsidRPr="00C564F2">
              <w:rPr>
                <w:bCs/>
                <w:lang w:val="en-ID"/>
              </w:rPr>
              <w:t>Ln_PDRB</w:t>
            </w:r>
            <w:proofErr w:type="spellEnd"/>
          </w:p>
        </w:tc>
        <w:tc>
          <w:tcPr>
            <w:tcW w:w="1284" w:type="dxa"/>
            <w:tcBorders>
              <w:top w:val="single" w:sz="4" w:space="0" w:color="7F7F7F"/>
              <w:bottom w:val="single" w:sz="4" w:space="0" w:color="7F7F7F"/>
            </w:tcBorders>
            <w:shd w:val="clear" w:color="auto" w:fill="auto"/>
          </w:tcPr>
          <w:p w14:paraId="6A63828F" w14:textId="77777777" w:rsidR="00AE0010" w:rsidRPr="00C564F2" w:rsidRDefault="00AE0010" w:rsidP="00E122A5">
            <w:pPr>
              <w:jc w:val="center"/>
              <w:rPr>
                <w:bCs/>
                <w:lang w:val="en-ID"/>
              </w:rPr>
            </w:pPr>
            <w:r w:rsidRPr="00C564F2">
              <w:rPr>
                <w:bCs/>
                <w:lang w:val="en-ID"/>
              </w:rPr>
              <w:t>19</w:t>
            </w:r>
          </w:p>
        </w:tc>
        <w:tc>
          <w:tcPr>
            <w:tcW w:w="1284" w:type="dxa"/>
            <w:tcBorders>
              <w:top w:val="single" w:sz="4" w:space="0" w:color="7F7F7F"/>
              <w:bottom w:val="single" w:sz="4" w:space="0" w:color="7F7F7F"/>
            </w:tcBorders>
            <w:shd w:val="clear" w:color="auto" w:fill="auto"/>
          </w:tcPr>
          <w:p w14:paraId="0694A66F" w14:textId="77777777" w:rsidR="00AE0010" w:rsidRPr="00C564F2" w:rsidRDefault="00AE0010" w:rsidP="00E122A5">
            <w:pPr>
              <w:jc w:val="center"/>
              <w:rPr>
                <w:bCs/>
                <w:lang w:val="en-ID"/>
              </w:rPr>
            </w:pPr>
            <w:r w:rsidRPr="00C564F2">
              <w:rPr>
                <w:bCs/>
                <w:lang w:val="en-ID"/>
              </w:rPr>
              <w:t>19.37</w:t>
            </w:r>
          </w:p>
        </w:tc>
        <w:tc>
          <w:tcPr>
            <w:tcW w:w="1284" w:type="dxa"/>
            <w:tcBorders>
              <w:top w:val="single" w:sz="4" w:space="0" w:color="7F7F7F"/>
              <w:bottom w:val="single" w:sz="4" w:space="0" w:color="7F7F7F"/>
            </w:tcBorders>
            <w:shd w:val="clear" w:color="auto" w:fill="auto"/>
          </w:tcPr>
          <w:p w14:paraId="0FC194D1" w14:textId="77777777" w:rsidR="00AE0010" w:rsidRPr="00C564F2" w:rsidRDefault="00AE0010" w:rsidP="00E122A5">
            <w:pPr>
              <w:jc w:val="center"/>
              <w:rPr>
                <w:bCs/>
                <w:lang w:val="en-ID"/>
              </w:rPr>
            </w:pPr>
            <w:r w:rsidRPr="00C564F2">
              <w:rPr>
                <w:bCs/>
                <w:lang w:val="en-ID"/>
              </w:rPr>
              <w:t>16.11</w:t>
            </w:r>
          </w:p>
        </w:tc>
        <w:tc>
          <w:tcPr>
            <w:tcW w:w="1284" w:type="dxa"/>
            <w:tcBorders>
              <w:top w:val="single" w:sz="4" w:space="0" w:color="7F7F7F"/>
              <w:bottom w:val="single" w:sz="4" w:space="0" w:color="7F7F7F"/>
            </w:tcBorders>
            <w:shd w:val="clear" w:color="auto" w:fill="auto"/>
          </w:tcPr>
          <w:p w14:paraId="1076DB03" w14:textId="77777777" w:rsidR="00AE0010" w:rsidRPr="00C564F2" w:rsidRDefault="00AE0010" w:rsidP="00E122A5">
            <w:pPr>
              <w:jc w:val="center"/>
              <w:rPr>
                <w:bCs/>
                <w:lang w:val="en-ID"/>
              </w:rPr>
            </w:pPr>
            <w:r w:rsidRPr="00C564F2">
              <w:rPr>
                <w:bCs/>
                <w:lang w:val="en-ID"/>
              </w:rPr>
              <w:t>20.40</w:t>
            </w:r>
          </w:p>
        </w:tc>
        <w:tc>
          <w:tcPr>
            <w:tcW w:w="1285" w:type="dxa"/>
            <w:tcBorders>
              <w:top w:val="single" w:sz="4" w:space="0" w:color="7F7F7F"/>
              <w:bottom w:val="single" w:sz="4" w:space="0" w:color="7F7F7F"/>
            </w:tcBorders>
            <w:shd w:val="clear" w:color="auto" w:fill="auto"/>
          </w:tcPr>
          <w:p w14:paraId="3ABCC7B3" w14:textId="77777777" w:rsidR="00AE0010" w:rsidRPr="00C564F2" w:rsidRDefault="00AE0010" w:rsidP="00E122A5">
            <w:pPr>
              <w:jc w:val="center"/>
              <w:rPr>
                <w:bCs/>
                <w:lang w:val="en-ID"/>
              </w:rPr>
            </w:pPr>
            <w:r w:rsidRPr="00C564F2">
              <w:rPr>
                <w:bCs/>
                <w:lang w:val="en-ID"/>
              </w:rPr>
              <w:t>-0.52</w:t>
            </w:r>
          </w:p>
        </w:tc>
      </w:tr>
    </w:tbl>
    <w:p w14:paraId="50CA4243" w14:textId="77777777" w:rsidR="00AE0010" w:rsidRPr="00C564F2" w:rsidRDefault="00AE0010" w:rsidP="00AE0010">
      <w:pPr>
        <w:jc w:val="both"/>
        <w:rPr>
          <w:bCs/>
          <w:lang w:val="en-ID"/>
        </w:rPr>
      </w:pPr>
      <w:r w:rsidRPr="00C564F2">
        <w:rPr>
          <w:bCs/>
          <w:lang w:val="en-ID"/>
        </w:rPr>
        <w:t xml:space="preserve">Source: </w:t>
      </w:r>
      <w:r w:rsidRPr="00C564F2">
        <w:rPr>
          <w:bCs/>
          <w:i/>
          <w:iCs/>
          <w:lang w:val="en-ID"/>
        </w:rPr>
        <w:t xml:space="preserve">Data </w:t>
      </w:r>
      <w:r w:rsidRPr="00C564F2">
        <w:rPr>
          <w:bCs/>
          <w:i/>
          <w:iCs/>
          <w:lang w:val="id-ID"/>
        </w:rPr>
        <w:t>processed using</w:t>
      </w:r>
      <w:r w:rsidRPr="00C564F2">
        <w:rPr>
          <w:bCs/>
          <w:i/>
          <w:iCs/>
          <w:lang w:val="en-ID"/>
        </w:rPr>
        <w:t xml:space="preserve"> </w:t>
      </w:r>
      <w:proofErr w:type="spellStart"/>
      <w:r w:rsidRPr="00C564F2">
        <w:rPr>
          <w:bCs/>
          <w:i/>
          <w:iCs/>
          <w:lang w:val="en-ID"/>
        </w:rPr>
        <w:t>Eviews</w:t>
      </w:r>
      <w:proofErr w:type="spellEnd"/>
      <w:r w:rsidRPr="00C564F2">
        <w:rPr>
          <w:bCs/>
          <w:i/>
          <w:iCs/>
          <w:lang w:val="en-ID"/>
        </w:rPr>
        <w:t xml:space="preserve"> 10 (2021)</w:t>
      </w:r>
    </w:p>
    <w:p w14:paraId="7A5CE093" w14:textId="77777777" w:rsidR="00AE0010" w:rsidRPr="00C564F2" w:rsidRDefault="00AE0010" w:rsidP="00AE0010">
      <w:pPr>
        <w:ind w:firstLine="450"/>
        <w:jc w:val="both"/>
        <w:rPr>
          <w:bCs/>
          <w:lang w:val="en-ID"/>
        </w:rPr>
      </w:pPr>
    </w:p>
    <w:p w14:paraId="5820583E" w14:textId="77777777" w:rsidR="00AE0010" w:rsidRPr="00C564F2" w:rsidRDefault="00AE0010" w:rsidP="00AE0010">
      <w:pPr>
        <w:ind w:firstLine="450"/>
        <w:jc w:val="both"/>
        <w:rPr>
          <w:bCs/>
          <w:lang w:val="en-ID"/>
        </w:rPr>
      </w:pPr>
      <w:r w:rsidRPr="00C564F2">
        <w:rPr>
          <w:bCs/>
          <w:lang w:val="en-ID"/>
        </w:rPr>
        <w:t xml:space="preserve">Table 3. describes the correlation between the independent variables. It </w:t>
      </w:r>
      <w:r w:rsidRPr="00C564F2">
        <w:rPr>
          <w:bCs/>
          <w:lang w:val="id-ID"/>
        </w:rPr>
        <w:t>is obvious</w:t>
      </w:r>
      <w:r w:rsidRPr="00C564F2">
        <w:rPr>
          <w:bCs/>
          <w:lang w:val="en-ID"/>
        </w:rPr>
        <w:t xml:space="preserve"> that all variables are below 0.7. These results indicate that there is no autocorrelation. Although this model can contain multicollinearity problems.</w:t>
      </w:r>
    </w:p>
    <w:p w14:paraId="6BE631A4" w14:textId="77777777" w:rsidR="00AE0010" w:rsidRDefault="00AE0010" w:rsidP="00AE0010">
      <w:pPr>
        <w:jc w:val="center"/>
        <w:rPr>
          <w:b/>
          <w:lang w:val="en-ID"/>
        </w:rPr>
      </w:pPr>
    </w:p>
    <w:p w14:paraId="790B48BA" w14:textId="77777777" w:rsidR="00AE0010" w:rsidRDefault="00AE0010" w:rsidP="00AE0010">
      <w:pPr>
        <w:jc w:val="center"/>
        <w:rPr>
          <w:b/>
          <w:lang w:val="en-ID"/>
        </w:rPr>
      </w:pPr>
    </w:p>
    <w:p w14:paraId="40F1F3FE" w14:textId="77777777" w:rsidR="00AE0010" w:rsidRPr="00C564F2" w:rsidRDefault="00AE0010" w:rsidP="00AE0010">
      <w:pPr>
        <w:jc w:val="center"/>
        <w:rPr>
          <w:b/>
          <w:lang w:val="en-ID"/>
        </w:rPr>
      </w:pPr>
    </w:p>
    <w:p w14:paraId="1D2A2AD2" w14:textId="77777777" w:rsidR="00AE0010" w:rsidRPr="00C564F2" w:rsidRDefault="00AE0010" w:rsidP="00AE0010">
      <w:pPr>
        <w:jc w:val="center"/>
        <w:rPr>
          <w:b/>
          <w:lang w:val="en-ID"/>
        </w:rPr>
      </w:pPr>
      <w:proofErr w:type="spellStart"/>
      <w:r w:rsidRPr="00C564F2">
        <w:rPr>
          <w:b/>
          <w:lang w:val="en-ID"/>
        </w:rPr>
        <w:t>Tabel</w:t>
      </w:r>
      <w:proofErr w:type="spellEnd"/>
      <w:r w:rsidRPr="00C564F2">
        <w:rPr>
          <w:b/>
          <w:lang w:val="en-ID"/>
        </w:rPr>
        <w:t xml:space="preserve"> 3. Correlation Matrix</w:t>
      </w:r>
    </w:p>
    <w:tbl>
      <w:tblPr>
        <w:tblW w:w="0" w:type="auto"/>
        <w:tblBorders>
          <w:top w:val="single" w:sz="4" w:space="0" w:color="7F7F7F"/>
          <w:bottom w:val="single" w:sz="4" w:space="0" w:color="7F7F7F"/>
        </w:tblBorders>
        <w:tblLook w:val="04A0" w:firstRow="1" w:lastRow="0" w:firstColumn="1" w:lastColumn="0" w:noHBand="0" w:noVBand="1"/>
      </w:tblPr>
      <w:tblGrid>
        <w:gridCol w:w="1284"/>
        <w:gridCol w:w="1284"/>
        <w:gridCol w:w="1284"/>
        <w:gridCol w:w="1284"/>
        <w:gridCol w:w="1284"/>
        <w:gridCol w:w="1285"/>
      </w:tblGrid>
      <w:tr w:rsidR="00AE0010" w:rsidRPr="00C564F2" w14:paraId="5C8A419D" w14:textId="77777777" w:rsidTr="00E122A5">
        <w:tc>
          <w:tcPr>
            <w:tcW w:w="1284" w:type="dxa"/>
            <w:tcBorders>
              <w:bottom w:val="single" w:sz="4" w:space="0" w:color="7F7F7F"/>
            </w:tcBorders>
            <w:shd w:val="clear" w:color="auto" w:fill="auto"/>
          </w:tcPr>
          <w:p w14:paraId="75B98211" w14:textId="77777777" w:rsidR="00AE0010" w:rsidRPr="00C564F2" w:rsidRDefault="00AE0010" w:rsidP="00E122A5">
            <w:pPr>
              <w:jc w:val="both"/>
              <w:rPr>
                <w:b/>
                <w:bCs/>
                <w:lang w:val="en-ID"/>
              </w:rPr>
            </w:pPr>
          </w:p>
        </w:tc>
        <w:tc>
          <w:tcPr>
            <w:tcW w:w="1284" w:type="dxa"/>
            <w:tcBorders>
              <w:bottom w:val="single" w:sz="4" w:space="0" w:color="7F7F7F"/>
            </w:tcBorders>
            <w:shd w:val="clear" w:color="auto" w:fill="auto"/>
          </w:tcPr>
          <w:p w14:paraId="68BFC6D3" w14:textId="77777777" w:rsidR="00AE0010" w:rsidRPr="00C564F2" w:rsidRDefault="00AE0010" w:rsidP="00E122A5">
            <w:pPr>
              <w:jc w:val="center"/>
              <w:rPr>
                <w:b/>
                <w:bCs/>
                <w:lang w:val="en-ID"/>
              </w:rPr>
            </w:pPr>
            <w:r w:rsidRPr="00C564F2">
              <w:rPr>
                <w:b/>
                <w:bCs/>
                <w:lang w:val="en-ID"/>
              </w:rPr>
              <w:t>NPF</w:t>
            </w:r>
          </w:p>
        </w:tc>
        <w:tc>
          <w:tcPr>
            <w:tcW w:w="1284" w:type="dxa"/>
            <w:tcBorders>
              <w:bottom w:val="single" w:sz="4" w:space="0" w:color="7F7F7F"/>
            </w:tcBorders>
            <w:shd w:val="clear" w:color="auto" w:fill="auto"/>
          </w:tcPr>
          <w:p w14:paraId="203B8836" w14:textId="77777777" w:rsidR="00AE0010" w:rsidRPr="00C564F2" w:rsidRDefault="00AE0010" w:rsidP="00E122A5">
            <w:pPr>
              <w:jc w:val="center"/>
              <w:rPr>
                <w:b/>
                <w:bCs/>
                <w:lang w:val="en-ID"/>
              </w:rPr>
            </w:pPr>
            <w:proofErr w:type="spellStart"/>
            <w:r w:rsidRPr="00C564F2">
              <w:rPr>
                <w:b/>
                <w:bCs/>
                <w:lang w:val="en-ID"/>
              </w:rPr>
              <w:t>Ln_Size</w:t>
            </w:r>
            <w:proofErr w:type="spellEnd"/>
          </w:p>
        </w:tc>
        <w:tc>
          <w:tcPr>
            <w:tcW w:w="1284" w:type="dxa"/>
            <w:tcBorders>
              <w:bottom w:val="single" w:sz="4" w:space="0" w:color="7F7F7F"/>
            </w:tcBorders>
            <w:shd w:val="clear" w:color="auto" w:fill="auto"/>
          </w:tcPr>
          <w:p w14:paraId="26E54740" w14:textId="77777777" w:rsidR="00AE0010" w:rsidRPr="00C564F2" w:rsidRDefault="00AE0010" w:rsidP="00E122A5">
            <w:pPr>
              <w:jc w:val="center"/>
              <w:rPr>
                <w:b/>
                <w:bCs/>
                <w:lang w:val="en-ID"/>
              </w:rPr>
            </w:pPr>
            <w:proofErr w:type="spellStart"/>
            <w:r w:rsidRPr="00C564F2">
              <w:rPr>
                <w:b/>
                <w:bCs/>
                <w:lang w:val="en-ID"/>
              </w:rPr>
              <w:t>Ln_PDRB</w:t>
            </w:r>
            <w:proofErr w:type="spellEnd"/>
          </w:p>
        </w:tc>
        <w:tc>
          <w:tcPr>
            <w:tcW w:w="1284" w:type="dxa"/>
            <w:tcBorders>
              <w:bottom w:val="single" w:sz="4" w:space="0" w:color="7F7F7F"/>
            </w:tcBorders>
            <w:shd w:val="clear" w:color="auto" w:fill="auto"/>
          </w:tcPr>
          <w:p w14:paraId="44EB2E9A" w14:textId="77777777" w:rsidR="00AE0010" w:rsidRPr="00C564F2" w:rsidRDefault="00AE0010" w:rsidP="00E122A5">
            <w:pPr>
              <w:jc w:val="center"/>
              <w:rPr>
                <w:b/>
                <w:bCs/>
                <w:lang w:val="en-ID"/>
              </w:rPr>
            </w:pPr>
            <w:r w:rsidRPr="00C564F2">
              <w:rPr>
                <w:b/>
                <w:bCs/>
                <w:lang w:val="en-ID"/>
              </w:rPr>
              <w:t>FDR</w:t>
            </w:r>
          </w:p>
        </w:tc>
        <w:tc>
          <w:tcPr>
            <w:tcW w:w="1285" w:type="dxa"/>
            <w:tcBorders>
              <w:bottom w:val="single" w:sz="4" w:space="0" w:color="7F7F7F"/>
            </w:tcBorders>
            <w:shd w:val="clear" w:color="auto" w:fill="auto"/>
          </w:tcPr>
          <w:p w14:paraId="0D67A74F" w14:textId="77777777" w:rsidR="00AE0010" w:rsidRPr="00C564F2" w:rsidRDefault="00AE0010" w:rsidP="00E122A5">
            <w:pPr>
              <w:jc w:val="center"/>
              <w:rPr>
                <w:b/>
                <w:bCs/>
                <w:lang w:val="en-ID"/>
              </w:rPr>
            </w:pPr>
            <w:r w:rsidRPr="00C564F2">
              <w:rPr>
                <w:b/>
                <w:bCs/>
                <w:lang w:val="en-ID"/>
              </w:rPr>
              <w:t>BOPO</w:t>
            </w:r>
          </w:p>
        </w:tc>
      </w:tr>
      <w:tr w:rsidR="00AE0010" w:rsidRPr="00C564F2" w14:paraId="0F598E56" w14:textId="77777777" w:rsidTr="00E122A5">
        <w:tc>
          <w:tcPr>
            <w:tcW w:w="1284" w:type="dxa"/>
            <w:tcBorders>
              <w:top w:val="single" w:sz="4" w:space="0" w:color="7F7F7F"/>
              <w:bottom w:val="single" w:sz="4" w:space="0" w:color="7F7F7F"/>
            </w:tcBorders>
            <w:shd w:val="clear" w:color="auto" w:fill="auto"/>
          </w:tcPr>
          <w:p w14:paraId="3F03FB8D" w14:textId="77777777" w:rsidR="00AE0010" w:rsidRPr="00C564F2" w:rsidRDefault="00AE0010" w:rsidP="00E122A5">
            <w:pPr>
              <w:jc w:val="both"/>
              <w:rPr>
                <w:b/>
                <w:bCs/>
                <w:lang w:val="en-ID"/>
              </w:rPr>
            </w:pPr>
            <w:r w:rsidRPr="00C564F2">
              <w:rPr>
                <w:b/>
                <w:bCs/>
                <w:lang w:val="en-ID"/>
              </w:rPr>
              <w:t>NPF</w:t>
            </w:r>
          </w:p>
        </w:tc>
        <w:tc>
          <w:tcPr>
            <w:tcW w:w="1284" w:type="dxa"/>
            <w:tcBorders>
              <w:top w:val="single" w:sz="4" w:space="0" w:color="7F7F7F"/>
              <w:bottom w:val="single" w:sz="4" w:space="0" w:color="7F7F7F"/>
            </w:tcBorders>
            <w:shd w:val="clear" w:color="auto" w:fill="auto"/>
          </w:tcPr>
          <w:p w14:paraId="16D6300F" w14:textId="77777777" w:rsidR="00AE0010" w:rsidRPr="00C564F2" w:rsidRDefault="00AE0010" w:rsidP="00E122A5">
            <w:pPr>
              <w:jc w:val="center"/>
              <w:rPr>
                <w:bCs/>
                <w:lang w:val="en-ID"/>
              </w:rPr>
            </w:pPr>
            <w:r w:rsidRPr="00C564F2">
              <w:rPr>
                <w:bCs/>
                <w:lang w:val="en-ID"/>
              </w:rPr>
              <w:t>1</w:t>
            </w:r>
          </w:p>
        </w:tc>
        <w:tc>
          <w:tcPr>
            <w:tcW w:w="1284" w:type="dxa"/>
            <w:tcBorders>
              <w:top w:val="single" w:sz="4" w:space="0" w:color="7F7F7F"/>
              <w:bottom w:val="single" w:sz="4" w:space="0" w:color="7F7F7F"/>
            </w:tcBorders>
            <w:shd w:val="clear" w:color="auto" w:fill="auto"/>
          </w:tcPr>
          <w:p w14:paraId="31FE6F24" w14:textId="77777777" w:rsidR="00AE0010" w:rsidRPr="00C564F2" w:rsidRDefault="00AE0010" w:rsidP="00E122A5">
            <w:pPr>
              <w:jc w:val="center"/>
              <w:rPr>
                <w:bCs/>
                <w:lang w:val="en-ID"/>
              </w:rPr>
            </w:pPr>
          </w:p>
        </w:tc>
        <w:tc>
          <w:tcPr>
            <w:tcW w:w="1284" w:type="dxa"/>
            <w:tcBorders>
              <w:top w:val="single" w:sz="4" w:space="0" w:color="7F7F7F"/>
              <w:bottom w:val="single" w:sz="4" w:space="0" w:color="7F7F7F"/>
            </w:tcBorders>
            <w:shd w:val="clear" w:color="auto" w:fill="auto"/>
          </w:tcPr>
          <w:p w14:paraId="08FA7AB1" w14:textId="77777777" w:rsidR="00AE0010" w:rsidRPr="00C564F2" w:rsidRDefault="00AE0010" w:rsidP="00E122A5">
            <w:pPr>
              <w:jc w:val="center"/>
              <w:rPr>
                <w:bCs/>
                <w:lang w:val="en-ID"/>
              </w:rPr>
            </w:pPr>
          </w:p>
        </w:tc>
        <w:tc>
          <w:tcPr>
            <w:tcW w:w="1284" w:type="dxa"/>
            <w:tcBorders>
              <w:top w:val="single" w:sz="4" w:space="0" w:color="7F7F7F"/>
              <w:bottom w:val="single" w:sz="4" w:space="0" w:color="7F7F7F"/>
            </w:tcBorders>
            <w:shd w:val="clear" w:color="auto" w:fill="auto"/>
          </w:tcPr>
          <w:p w14:paraId="0C419E23" w14:textId="77777777" w:rsidR="00AE0010" w:rsidRPr="00C564F2" w:rsidRDefault="00AE0010" w:rsidP="00E122A5">
            <w:pPr>
              <w:jc w:val="center"/>
              <w:rPr>
                <w:bCs/>
                <w:lang w:val="en-ID"/>
              </w:rPr>
            </w:pPr>
          </w:p>
        </w:tc>
        <w:tc>
          <w:tcPr>
            <w:tcW w:w="1285" w:type="dxa"/>
            <w:tcBorders>
              <w:top w:val="single" w:sz="4" w:space="0" w:color="7F7F7F"/>
              <w:bottom w:val="single" w:sz="4" w:space="0" w:color="7F7F7F"/>
            </w:tcBorders>
            <w:shd w:val="clear" w:color="auto" w:fill="auto"/>
          </w:tcPr>
          <w:p w14:paraId="4C5C6348" w14:textId="77777777" w:rsidR="00AE0010" w:rsidRPr="00C564F2" w:rsidRDefault="00AE0010" w:rsidP="00E122A5">
            <w:pPr>
              <w:jc w:val="center"/>
              <w:rPr>
                <w:bCs/>
                <w:lang w:val="en-ID"/>
              </w:rPr>
            </w:pPr>
          </w:p>
        </w:tc>
      </w:tr>
      <w:tr w:rsidR="00AE0010" w:rsidRPr="00C564F2" w14:paraId="0C456D53" w14:textId="77777777" w:rsidTr="00E122A5">
        <w:tc>
          <w:tcPr>
            <w:tcW w:w="1284" w:type="dxa"/>
            <w:shd w:val="clear" w:color="auto" w:fill="auto"/>
          </w:tcPr>
          <w:p w14:paraId="79B63029" w14:textId="77777777" w:rsidR="00AE0010" w:rsidRPr="00C564F2" w:rsidRDefault="00AE0010" w:rsidP="00E122A5">
            <w:pPr>
              <w:jc w:val="both"/>
              <w:rPr>
                <w:b/>
                <w:bCs/>
                <w:lang w:val="en-ID"/>
              </w:rPr>
            </w:pPr>
            <w:proofErr w:type="spellStart"/>
            <w:r w:rsidRPr="00C564F2">
              <w:rPr>
                <w:b/>
                <w:bCs/>
                <w:lang w:val="en-ID"/>
              </w:rPr>
              <w:t>Ln_Size</w:t>
            </w:r>
            <w:proofErr w:type="spellEnd"/>
          </w:p>
        </w:tc>
        <w:tc>
          <w:tcPr>
            <w:tcW w:w="1284" w:type="dxa"/>
            <w:shd w:val="clear" w:color="auto" w:fill="auto"/>
          </w:tcPr>
          <w:p w14:paraId="5D629A91" w14:textId="77777777" w:rsidR="00AE0010" w:rsidRPr="00C564F2" w:rsidRDefault="00AE0010" w:rsidP="00E122A5">
            <w:pPr>
              <w:jc w:val="center"/>
              <w:rPr>
                <w:bCs/>
                <w:lang w:val="en-ID"/>
              </w:rPr>
            </w:pPr>
            <w:r w:rsidRPr="00C564F2">
              <w:rPr>
                <w:bCs/>
                <w:lang w:val="en-ID"/>
              </w:rPr>
              <w:t>-0.24</w:t>
            </w:r>
          </w:p>
        </w:tc>
        <w:tc>
          <w:tcPr>
            <w:tcW w:w="1284" w:type="dxa"/>
            <w:shd w:val="clear" w:color="auto" w:fill="auto"/>
          </w:tcPr>
          <w:p w14:paraId="2AD08851" w14:textId="77777777" w:rsidR="00AE0010" w:rsidRPr="00C564F2" w:rsidRDefault="00AE0010" w:rsidP="00E122A5">
            <w:pPr>
              <w:jc w:val="center"/>
              <w:rPr>
                <w:bCs/>
                <w:lang w:val="en-ID"/>
              </w:rPr>
            </w:pPr>
            <w:r w:rsidRPr="00C564F2">
              <w:rPr>
                <w:bCs/>
                <w:lang w:val="en-ID"/>
              </w:rPr>
              <w:t>1</w:t>
            </w:r>
          </w:p>
        </w:tc>
        <w:tc>
          <w:tcPr>
            <w:tcW w:w="1284" w:type="dxa"/>
            <w:shd w:val="clear" w:color="auto" w:fill="auto"/>
          </w:tcPr>
          <w:p w14:paraId="1D0A4486" w14:textId="77777777" w:rsidR="00AE0010" w:rsidRPr="00C564F2" w:rsidRDefault="00AE0010" w:rsidP="00E122A5">
            <w:pPr>
              <w:jc w:val="center"/>
              <w:rPr>
                <w:bCs/>
                <w:lang w:val="en-ID"/>
              </w:rPr>
            </w:pPr>
          </w:p>
        </w:tc>
        <w:tc>
          <w:tcPr>
            <w:tcW w:w="1284" w:type="dxa"/>
            <w:shd w:val="clear" w:color="auto" w:fill="auto"/>
          </w:tcPr>
          <w:p w14:paraId="2DF38BE4" w14:textId="77777777" w:rsidR="00AE0010" w:rsidRPr="00C564F2" w:rsidRDefault="00AE0010" w:rsidP="00E122A5">
            <w:pPr>
              <w:jc w:val="center"/>
              <w:rPr>
                <w:bCs/>
                <w:lang w:val="en-ID"/>
              </w:rPr>
            </w:pPr>
          </w:p>
        </w:tc>
        <w:tc>
          <w:tcPr>
            <w:tcW w:w="1285" w:type="dxa"/>
            <w:shd w:val="clear" w:color="auto" w:fill="auto"/>
          </w:tcPr>
          <w:p w14:paraId="734A810B" w14:textId="77777777" w:rsidR="00AE0010" w:rsidRPr="00C564F2" w:rsidRDefault="00AE0010" w:rsidP="00E122A5">
            <w:pPr>
              <w:jc w:val="center"/>
              <w:rPr>
                <w:bCs/>
                <w:lang w:val="en-ID"/>
              </w:rPr>
            </w:pPr>
          </w:p>
        </w:tc>
      </w:tr>
      <w:tr w:rsidR="00AE0010" w:rsidRPr="00C564F2" w14:paraId="70D43032" w14:textId="77777777" w:rsidTr="00E122A5">
        <w:tc>
          <w:tcPr>
            <w:tcW w:w="1284" w:type="dxa"/>
            <w:tcBorders>
              <w:top w:val="single" w:sz="4" w:space="0" w:color="7F7F7F"/>
              <w:bottom w:val="single" w:sz="4" w:space="0" w:color="7F7F7F"/>
            </w:tcBorders>
            <w:shd w:val="clear" w:color="auto" w:fill="auto"/>
          </w:tcPr>
          <w:p w14:paraId="5E7FB309" w14:textId="77777777" w:rsidR="00AE0010" w:rsidRPr="00C564F2" w:rsidRDefault="00AE0010" w:rsidP="00E122A5">
            <w:pPr>
              <w:jc w:val="both"/>
              <w:rPr>
                <w:b/>
                <w:bCs/>
                <w:lang w:val="en-ID"/>
              </w:rPr>
            </w:pPr>
            <w:proofErr w:type="spellStart"/>
            <w:r w:rsidRPr="00C564F2">
              <w:rPr>
                <w:b/>
                <w:bCs/>
                <w:lang w:val="en-ID"/>
              </w:rPr>
              <w:t>Ln_PDRB</w:t>
            </w:r>
            <w:proofErr w:type="spellEnd"/>
          </w:p>
        </w:tc>
        <w:tc>
          <w:tcPr>
            <w:tcW w:w="1284" w:type="dxa"/>
            <w:tcBorders>
              <w:top w:val="single" w:sz="4" w:space="0" w:color="7F7F7F"/>
              <w:bottom w:val="single" w:sz="4" w:space="0" w:color="7F7F7F"/>
            </w:tcBorders>
            <w:shd w:val="clear" w:color="auto" w:fill="auto"/>
          </w:tcPr>
          <w:p w14:paraId="64044EB6" w14:textId="77777777" w:rsidR="00AE0010" w:rsidRPr="00C564F2" w:rsidRDefault="00AE0010" w:rsidP="00E122A5">
            <w:pPr>
              <w:jc w:val="center"/>
              <w:rPr>
                <w:bCs/>
                <w:lang w:val="en-ID"/>
              </w:rPr>
            </w:pPr>
            <w:r w:rsidRPr="00C564F2">
              <w:rPr>
                <w:bCs/>
                <w:lang w:val="en-ID"/>
              </w:rPr>
              <w:t>0.00</w:t>
            </w:r>
          </w:p>
        </w:tc>
        <w:tc>
          <w:tcPr>
            <w:tcW w:w="1284" w:type="dxa"/>
            <w:tcBorders>
              <w:top w:val="single" w:sz="4" w:space="0" w:color="7F7F7F"/>
              <w:bottom w:val="single" w:sz="4" w:space="0" w:color="7F7F7F"/>
            </w:tcBorders>
            <w:shd w:val="clear" w:color="auto" w:fill="auto"/>
          </w:tcPr>
          <w:p w14:paraId="144C9248" w14:textId="77777777" w:rsidR="00AE0010" w:rsidRPr="00C564F2" w:rsidRDefault="00AE0010" w:rsidP="00E122A5">
            <w:pPr>
              <w:jc w:val="center"/>
              <w:rPr>
                <w:bCs/>
                <w:lang w:val="en-ID"/>
              </w:rPr>
            </w:pPr>
            <w:r w:rsidRPr="00C564F2">
              <w:rPr>
                <w:bCs/>
                <w:lang w:val="en-ID"/>
              </w:rPr>
              <w:t>0.014</w:t>
            </w:r>
          </w:p>
        </w:tc>
        <w:tc>
          <w:tcPr>
            <w:tcW w:w="1284" w:type="dxa"/>
            <w:tcBorders>
              <w:top w:val="single" w:sz="4" w:space="0" w:color="7F7F7F"/>
              <w:bottom w:val="single" w:sz="4" w:space="0" w:color="7F7F7F"/>
            </w:tcBorders>
            <w:shd w:val="clear" w:color="auto" w:fill="auto"/>
          </w:tcPr>
          <w:p w14:paraId="589498CA" w14:textId="77777777" w:rsidR="00AE0010" w:rsidRPr="00C564F2" w:rsidRDefault="00AE0010" w:rsidP="00E122A5">
            <w:pPr>
              <w:jc w:val="center"/>
              <w:rPr>
                <w:bCs/>
                <w:lang w:val="en-ID"/>
              </w:rPr>
            </w:pPr>
            <w:r w:rsidRPr="00C564F2">
              <w:rPr>
                <w:bCs/>
                <w:lang w:val="en-ID"/>
              </w:rPr>
              <w:t>1</w:t>
            </w:r>
          </w:p>
        </w:tc>
        <w:tc>
          <w:tcPr>
            <w:tcW w:w="1284" w:type="dxa"/>
            <w:tcBorders>
              <w:top w:val="single" w:sz="4" w:space="0" w:color="7F7F7F"/>
              <w:bottom w:val="single" w:sz="4" w:space="0" w:color="7F7F7F"/>
            </w:tcBorders>
            <w:shd w:val="clear" w:color="auto" w:fill="auto"/>
          </w:tcPr>
          <w:p w14:paraId="57B665E8" w14:textId="77777777" w:rsidR="00AE0010" w:rsidRPr="00C564F2" w:rsidRDefault="00AE0010" w:rsidP="00E122A5">
            <w:pPr>
              <w:jc w:val="center"/>
              <w:rPr>
                <w:bCs/>
                <w:lang w:val="en-ID"/>
              </w:rPr>
            </w:pPr>
          </w:p>
        </w:tc>
        <w:tc>
          <w:tcPr>
            <w:tcW w:w="1285" w:type="dxa"/>
            <w:tcBorders>
              <w:top w:val="single" w:sz="4" w:space="0" w:color="7F7F7F"/>
              <w:bottom w:val="single" w:sz="4" w:space="0" w:color="7F7F7F"/>
            </w:tcBorders>
            <w:shd w:val="clear" w:color="auto" w:fill="auto"/>
          </w:tcPr>
          <w:p w14:paraId="0B705E09" w14:textId="77777777" w:rsidR="00AE0010" w:rsidRPr="00C564F2" w:rsidRDefault="00AE0010" w:rsidP="00E122A5">
            <w:pPr>
              <w:jc w:val="center"/>
              <w:rPr>
                <w:bCs/>
                <w:lang w:val="en-ID"/>
              </w:rPr>
            </w:pPr>
          </w:p>
        </w:tc>
      </w:tr>
      <w:tr w:rsidR="00AE0010" w:rsidRPr="00C564F2" w14:paraId="156C50B1" w14:textId="77777777" w:rsidTr="00E122A5">
        <w:tc>
          <w:tcPr>
            <w:tcW w:w="1284" w:type="dxa"/>
            <w:shd w:val="clear" w:color="auto" w:fill="auto"/>
          </w:tcPr>
          <w:p w14:paraId="1749DF75" w14:textId="77777777" w:rsidR="00AE0010" w:rsidRPr="00C564F2" w:rsidRDefault="00AE0010" w:rsidP="00E122A5">
            <w:pPr>
              <w:jc w:val="both"/>
              <w:rPr>
                <w:b/>
                <w:bCs/>
                <w:lang w:val="en-ID"/>
              </w:rPr>
            </w:pPr>
            <w:r w:rsidRPr="00C564F2">
              <w:rPr>
                <w:b/>
                <w:bCs/>
                <w:lang w:val="en-ID"/>
              </w:rPr>
              <w:t>FDR</w:t>
            </w:r>
          </w:p>
        </w:tc>
        <w:tc>
          <w:tcPr>
            <w:tcW w:w="1284" w:type="dxa"/>
            <w:shd w:val="clear" w:color="auto" w:fill="auto"/>
          </w:tcPr>
          <w:p w14:paraId="080E578F" w14:textId="77777777" w:rsidR="00AE0010" w:rsidRPr="00C564F2" w:rsidRDefault="00AE0010" w:rsidP="00E122A5">
            <w:pPr>
              <w:jc w:val="center"/>
              <w:rPr>
                <w:bCs/>
                <w:lang w:val="en-ID"/>
              </w:rPr>
            </w:pPr>
            <w:r w:rsidRPr="00C564F2">
              <w:rPr>
                <w:bCs/>
                <w:lang w:val="en-ID"/>
              </w:rPr>
              <w:t>0.01</w:t>
            </w:r>
          </w:p>
        </w:tc>
        <w:tc>
          <w:tcPr>
            <w:tcW w:w="1284" w:type="dxa"/>
            <w:shd w:val="clear" w:color="auto" w:fill="auto"/>
          </w:tcPr>
          <w:p w14:paraId="2941CA70" w14:textId="77777777" w:rsidR="00AE0010" w:rsidRPr="00C564F2" w:rsidRDefault="00AE0010" w:rsidP="00E122A5">
            <w:pPr>
              <w:jc w:val="center"/>
              <w:rPr>
                <w:bCs/>
                <w:lang w:val="en-ID"/>
              </w:rPr>
            </w:pPr>
            <w:r w:rsidRPr="00C564F2">
              <w:rPr>
                <w:bCs/>
                <w:lang w:val="en-ID"/>
              </w:rPr>
              <w:t>0.04</w:t>
            </w:r>
          </w:p>
        </w:tc>
        <w:tc>
          <w:tcPr>
            <w:tcW w:w="1284" w:type="dxa"/>
            <w:shd w:val="clear" w:color="auto" w:fill="auto"/>
          </w:tcPr>
          <w:p w14:paraId="5BFFFB16" w14:textId="77777777" w:rsidR="00AE0010" w:rsidRPr="00C564F2" w:rsidRDefault="00AE0010" w:rsidP="00E122A5">
            <w:pPr>
              <w:jc w:val="center"/>
              <w:rPr>
                <w:bCs/>
                <w:lang w:val="en-ID"/>
              </w:rPr>
            </w:pPr>
            <w:r w:rsidRPr="00C564F2">
              <w:rPr>
                <w:bCs/>
                <w:lang w:val="en-ID"/>
              </w:rPr>
              <w:t>-0.00</w:t>
            </w:r>
          </w:p>
        </w:tc>
        <w:tc>
          <w:tcPr>
            <w:tcW w:w="1284" w:type="dxa"/>
            <w:shd w:val="clear" w:color="auto" w:fill="auto"/>
          </w:tcPr>
          <w:p w14:paraId="06505104" w14:textId="77777777" w:rsidR="00AE0010" w:rsidRPr="00C564F2" w:rsidRDefault="00AE0010" w:rsidP="00E122A5">
            <w:pPr>
              <w:jc w:val="center"/>
              <w:rPr>
                <w:bCs/>
                <w:lang w:val="en-ID"/>
              </w:rPr>
            </w:pPr>
            <w:r w:rsidRPr="00C564F2">
              <w:rPr>
                <w:bCs/>
                <w:lang w:val="en-ID"/>
              </w:rPr>
              <w:t>1</w:t>
            </w:r>
          </w:p>
        </w:tc>
        <w:tc>
          <w:tcPr>
            <w:tcW w:w="1285" w:type="dxa"/>
            <w:shd w:val="clear" w:color="auto" w:fill="auto"/>
          </w:tcPr>
          <w:p w14:paraId="5240A7A5" w14:textId="77777777" w:rsidR="00AE0010" w:rsidRPr="00C564F2" w:rsidRDefault="00AE0010" w:rsidP="00E122A5">
            <w:pPr>
              <w:jc w:val="center"/>
              <w:rPr>
                <w:bCs/>
                <w:lang w:val="en-ID"/>
              </w:rPr>
            </w:pPr>
          </w:p>
        </w:tc>
      </w:tr>
      <w:tr w:rsidR="00AE0010" w:rsidRPr="00C564F2" w14:paraId="02D37C70" w14:textId="77777777" w:rsidTr="00E122A5">
        <w:tc>
          <w:tcPr>
            <w:tcW w:w="1284" w:type="dxa"/>
            <w:tcBorders>
              <w:top w:val="single" w:sz="4" w:space="0" w:color="7F7F7F"/>
              <w:bottom w:val="single" w:sz="4" w:space="0" w:color="7F7F7F"/>
            </w:tcBorders>
            <w:shd w:val="clear" w:color="auto" w:fill="auto"/>
          </w:tcPr>
          <w:p w14:paraId="7760516B" w14:textId="77777777" w:rsidR="00AE0010" w:rsidRPr="00C564F2" w:rsidRDefault="00AE0010" w:rsidP="00E122A5">
            <w:pPr>
              <w:jc w:val="both"/>
              <w:rPr>
                <w:b/>
                <w:bCs/>
                <w:lang w:val="en-ID"/>
              </w:rPr>
            </w:pPr>
            <w:r w:rsidRPr="00C564F2">
              <w:rPr>
                <w:b/>
                <w:bCs/>
                <w:lang w:val="en-ID"/>
              </w:rPr>
              <w:t>BOPO</w:t>
            </w:r>
          </w:p>
        </w:tc>
        <w:tc>
          <w:tcPr>
            <w:tcW w:w="1284" w:type="dxa"/>
            <w:tcBorders>
              <w:top w:val="single" w:sz="4" w:space="0" w:color="7F7F7F"/>
              <w:bottom w:val="single" w:sz="4" w:space="0" w:color="7F7F7F"/>
            </w:tcBorders>
            <w:shd w:val="clear" w:color="auto" w:fill="auto"/>
          </w:tcPr>
          <w:p w14:paraId="45205BC6" w14:textId="77777777" w:rsidR="00AE0010" w:rsidRPr="00C564F2" w:rsidRDefault="00AE0010" w:rsidP="00E122A5">
            <w:pPr>
              <w:jc w:val="center"/>
              <w:rPr>
                <w:bCs/>
                <w:lang w:val="en-ID"/>
              </w:rPr>
            </w:pPr>
            <w:r w:rsidRPr="00C564F2">
              <w:rPr>
                <w:bCs/>
                <w:lang w:val="en-ID"/>
              </w:rPr>
              <w:t>-0.11</w:t>
            </w:r>
          </w:p>
        </w:tc>
        <w:tc>
          <w:tcPr>
            <w:tcW w:w="1284" w:type="dxa"/>
            <w:tcBorders>
              <w:top w:val="single" w:sz="4" w:space="0" w:color="7F7F7F"/>
              <w:bottom w:val="single" w:sz="4" w:space="0" w:color="7F7F7F"/>
            </w:tcBorders>
            <w:shd w:val="clear" w:color="auto" w:fill="auto"/>
          </w:tcPr>
          <w:p w14:paraId="056D95F9" w14:textId="77777777" w:rsidR="00AE0010" w:rsidRPr="00C564F2" w:rsidRDefault="00AE0010" w:rsidP="00E122A5">
            <w:pPr>
              <w:jc w:val="center"/>
              <w:rPr>
                <w:bCs/>
                <w:lang w:val="en-ID"/>
              </w:rPr>
            </w:pPr>
            <w:r w:rsidRPr="00C564F2">
              <w:rPr>
                <w:bCs/>
                <w:lang w:val="en-ID"/>
              </w:rPr>
              <w:t>-0.02</w:t>
            </w:r>
          </w:p>
        </w:tc>
        <w:tc>
          <w:tcPr>
            <w:tcW w:w="1284" w:type="dxa"/>
            <w:tcBorders>
              <w:top w:val="single" w:sz="4" w:space="0" w:color="7F7F7F"/>
              <w:bottom w:val="single" w:sz="4" w:space="0" w:color="7F7F7F"/>
            </w:tcBorders>
            <w:shd w:val="clear" w:color="auto" w:fill="auto"/>
          </w:tcPr>
          <w:p w14:paraId="581F192B" w14:textId="77777777" w:rsidR="00AE0010" w:rsidRPr="00C564F2" w:rsidRDefault="00AE0010" w:rsidP="00E122A5">
            <w:pPr>
              <w:jc w:val="center"/>
              <w:rPr>
                <w:bCs/>
                <w:lang w:val="en-ID"/>
              </w:rPr>
            </w:pPr>
            <w:r w:rsidRPr="00C564F2">
              <w:rPr>
                <w:bCs/>
                <w:lang w:val="en-ID"/>
              </w:rPr>
              <w:t>-0.02</w:t>
            </w:r>
          </w:p>
        </w:tc>
        <w:tc>
          <w:tcPr>
            <w:tcW w:w="1284" w:type="dxa"/>
            <w:tcBorders>
              <w:top w:val="single" w:sz="4" w:space="0" w:color="7F7F7F"/>
              <w:bottom w:val="single" w:sz="4" w:space="0" w:color="7F7F7F"/>
            </w:tcBorders>
            <w:shd w:val="clear" w:color="auto" w:fill="auto"/>
          </w:tcPr>
          <w:p w14:paraId="3C156ACD" w14:textId="77777777" w:rsidR="00AE0010" w:rsidRPr="00C564F2" w:rsidRDefault="00AE0010" w:rsidP="00E122A5">
            <w:pPr>
              <w:jc w:val="center"/>
              <w:rPr>
                <w:bCs/>
                <w:lang w:val="en-ID"/>
              </w:rPr>
            </w:pPr>
            <w:r w:rsidRPr="00C564F2">
              <w:rPr>
                <w:bCs/>
                <w:lang w:val="en-ID"/>
              </w:rPr>
              <w:t>0.05</w:t>
            </w:r>
          </w:p>
        </w:tc>
        <w:tc>
          <w:tcPr>
            <w:tcW w:w="1285" w:type="dxa"/>
            <w:tcBorders>
              <w:top w:val="single" w:sz="4" w:space="0" w:color="7F7F7F"/>
              <w:bottom w:val="single" w:sz="4" w:space="0" w:color="7F7F7F"/>
            </w:tcBorders>
            <w:shd w:val="clear" w:color="auto" w:fill="auto"/>
          </w:tcPr>
          <w:p w14:paraId="1CAF0EB2" w14:textId="77777777" w:rsidR="00AE0010" w:rsidRPr="00C564F2" w:rsidRDefault="00AE0010" w:rsidP="00E122A5">
            <w:pPr>
              <w:jc w:val="center"/>
              <w:rPr>
                <w:bCs/>
                <w:lang w:val="en-ID"/>
              </w:rPr>
            </w:pPr>
            <w:r w:rsidRPr="00C564F2">
              <w:rPr>
                <w:bCs/>
                <w:lang w:val="en-ID"/>
              </w:rPr>
              <w:t>1</w:t>
            </w:r>
          </w:p>
        </w:tc>
      </w:tr>
    </w:tbl>
    <w:p w14:paraId="065989E4" w14:textId="77777777" w:rsidR="00AE0010" w:rsidRPr="00C564F2" w:rsidRDefault="00AE0010" w:rsidP="00AE0010">
      <w:pPr>
        <w:jc w:val="both"/>
        <w:rPr>
          <w:bCs/>
          <w:lang w:val="en-ID"/>
        </w:rPr>
      </w:pPr>
    </w:p>
    <w:p w14:paraId="340BA1F5" w14:textId="77777777" w:rsidR="00AE0010" w:rsidRPr="00C564F2" w:rsidRDefault="00AE0010" w:rsidP="00AE0010">
      <w:pPr>
        <w:ind w:firstLine="450"/>
        <w:jc w:val="both"/>
        <w:rPr>
          <w:bCs/>
          <w:lang w:val="en-ID"/>
        </w:rPr>
      </w:pPr>
      <w:r w:rsidRPr="00C564F2">
        <w:rPr>
          <w:bCs/>
          <w:lang w:val="en-ID"/>
        </w:rPr>
        <w:t xml:space="preserve">Table 4. shows the results of panel data regression. Analysis of panel data regression model selection using common effect (CE), fixed effect (FE), and random effect (FE). </w:t>
      </w:r>
      <w:r w:rsidRPr="00C564F2">
        <w:rPr>
          <w:bCs/>
          <w:lang w:val="id-ID"/>
        </w:rPr>
        <w:t>The Chow Test is conducted to decide the</w:t>
      </w:r>
      <w:r w:rsidRPr="00C564F2">
        <w:rPr>
          <w:bCs/>
          <w:lang w:val="en-ID"/>
        </w:rPr>
        <w:t xml:space="preserve"> model between CE and FE and the selection of the FE and RE model us</w:t>
      </w:r>
      <w:r w:rsidRPr="00C564F2">
        <w:rPr>
          <w:bCs/>
          <w:lang w:val="id-ID"/>
        </w:rPr>
        <w:t>ing</w:t>
      </w:r>
      <w:r w:rsidRPr="00C564F2">
        <w:rPr>
          <w:bCs/>
          <w:lang w:val="en-ID"/>
        </w:rPr>
        <w:t xml:space="preserve"> Hausman-test. Based on the research </w:t>
      </w:r>
      <w:proofErr w:type="spellStart"/>
      <w:r w:rsidRPr="00C564F2">
        <w:rPr>
          <w:bCs/>
          <w:lang w:val="en-ID"/>
        </w:rPr>
        <w:t>of</w:t>
      </w:r>
      <w:r w:rsidRPr="00C564F2">
        <w:rPr>
          <w:bCs/>
          <w:lang w:val="en-ID"/>
        </w:rPr>
        <w:fldChar w:fldCharType="begin" w:fldLock="1"/>
      </w:r>
      <w:r w:rsidRPr="00C564F2">
        <w:rPr>
          <w:bCs/>
          <w:lang w:val="en-ID"/>
        </w:rPr>
        <w:instrText>ADDIN CSL_CITATION {"citationItems":[{"id":"ITEM-1","itemData":{"DOI":"10.13106/jafeb.2020.vol7.no9.305","author":[{"dropping-particle":"","family":"Widarjono","given":"Agus","non-dropping-particle":"","parse-names":false,"suffix":""},{"dropping-particle":"","family":"Anto","given":"M B Hendrie","non-dropping-particle":"","parse-names":false,"suffix":""},{"dropping-particle":"","family":"Fakhrunnas","given":"Faaza","non-dropping-particle":"","parse-names":false,"suffix":""}],"id":"ITEM-1","issue":"9","issued":{"date-parts":[["2020"]]},"page":"305-314","title":"Financing Risk in Indonesian Islamic Rural Banks : Do Financing Products Matter ?*","type":"article-journal","volume":"7"},"uris":["http://www.mendeley.com/documents/?uuid=3e0285a8-3ffd-4550-864e-e7b8538e5062"]}],"mendeley":{"formattedCitation":"(Widarjono et al., 2020)","manualFormatting":"Widarjono et al. (2020)","plainTextFormattedCitation":"(Widarjono et al., 2020)","previouslyFormattedCitation":"(Widarjono et al., 2020)"},"properties":{"noteIndex":0},"schema":"https://github.com/citation-style-language/schema/raw/master/csl-citation.json"}</w:instrText>
      </w:r>
      <w:r w:rsidRPr="00C564F2">
        <w:rPr>
          <w:bCs/>
          <w:lang w:val="en-ID"/>
        </w:rPr>
        <w:fldChar w:fldCharType="separate"/>
      </w:r>
      <w:r w:rsidRPr="00C564F2">
        <w:rPr>
          <w:bCs/>
          <w:lang w:val="en-ID"/>
        </w:rPr>
        <w:t>Widarjono</w:t>
      </w:r>
      <w:proofErr w:type="spellEnd"/>
      <w:r w:rsidRPr="00C564F2">
        <w:rPr>
          <w:bCs/>
          <w:lang w:val="en-ID"/>
        </w:rPr>
        <w:t xml:space="preserve"> et al. (2020)</w:t>
      </w:r>
      <w:r w:rsidRPr="00C564F2">
        <w:rPr>
          <w:bCs/>
          <w:lang w:val="en-ID"/>
        </w:rPr>
        <w:fldChar w:fldCharType="end"/>
      </w:r>
      <w:r w:rsidRPr="00C564F2">
        <w:rPr>
          <w:bCs/>
          <w:lang w:val="en-ID"/>
        </w:rPr>
        <w:t xml:space="preserve"> confirm</w:t>
      </w:r>
      <w:r w:rsidRPr="00C564F2">
        <w:rPr>
          <w:bCs/>
          <w:lang w:val="id-ID"/>
        </w:rPr>
        <w:t>ed</w:t>
      </w:r>
      <w:r w:rsidRPr="00C564F2">
        <w:rPr>
          <w:bCs/>
          <w:lang w:val="en-ID"/>
        </w:rPr>
        <w:t xml:space="preserve"> that there is a relationship between NPF and bank size. Based on the Chow test and Hausman-test, the FE model </w:t>
      </w:r>
      <w:r w:rsidRPr="00C564F2">
        <w:rPr>
          <w:bCs/>
          <w:lang w:val="id-ID"/>
        </w:rPr>
        <w:t xml:space="preserve">is selected </w:t>
      </w:r>
      <w:r w:rsidRPr="00C564F2">
        <w:rPr>
          <w:bCs/>
          <w:lang w:val="en-ID"/>
        </w:rPr>
        <w:t xml:space="preserve">for </w:t>
      </w:r>
      <w:r w:rsidRPr="00C564F2">
        <w:rPr>
          <w:bCs/>
          <w:lang w:val="id-ID"/>
        </w:rPr>
        <w:t>all variables.</w:t>
      </w:r>
    </w:p>
    <w:p w14:paraId="3D511254" w14:textId="77777777" w:rsidR="00AE0010" w:rsidRPr="00C564F2" w:rsidRDefault="00AE0010" w:rsidP="00AE0010">
      <w:pPr>
        <w:ind w:firstLine="450"/>
        <w:jc w:val="both"/>
        <w:rPr>
          <w:bCs/>
          <w:lang w:val="id-ID"/>
        </w:rPr>
      </w:pPr>
    </w:p>
    <w:p w14:paraId="6A390568" w14:textId="77777777" w:rsidR="00AE0010" w:rsidRPr="00C564F2" w:rsidRDefault="00AE0010" w:rsidP="00AE0010">
      <w:pPr>
        <w:jc w:val="center"/>
        <w:rPr>
          <w:b/>
          <w:lang w:val="en-ID"/>
        </w:rPr>
      </w:pPr>
      <w:proofErr w:type="spellStart"/>
      <w:r w:rsidRPr="00C564F2">
        <w:rPr>
          <w:b/>
          <w:lang w:val="en-ID"/>
        </w:rPr>
        <w:t>Tabel</w:t>
      </w:r>
      <w:proofErr w:type="spellEnd"/>
      <w:r w:rsidRPr="00C564F2">
        <w:rPr>
          <w:b/>
          <w:lang w:val="en-ID"/>
        </w:rPr>
        <w:t xml:space="preserve"> 4. Static Panel Regression</w:t>
      </w:r>
    </w:p>
    <w:tbl>
      <w:tblPr>
        <w:tblW w:w="8138" w:type="dxa"/>
        <w:tblBorders>
          <w:top w:val="single" w:sz="4" w:space="0" w:color="7F7F7F"/>
          <w:bottom w:val="single" w:sz="4" w:space="0" w:color="7F7F7F"/>
        </w:tblBorders>
        <w:tblLook w:val="04A0" w:firstRow="1" w:lastRow="0" w:firstColumn="1" w:lastColumn="0" w:noHBand="0" w:noVBand="1"/>
      </w:tblPr>
      <w:tblGrid>
        <w:gridCol w:w="2358"/>
        <w:gridCol w:w="1926"/>
        <w:gridCol w:w="1926"/>
        <w:gridCol w:w="1928"/>
      </w:tblGrid>
      <w:tr w:rsidR="00AE0010" w:rsidRPr="00C564F2" w14:paraId="0B0C87A4" w14:textId="77777777" w:rsidTr="00E122A5">
        <w:tc>
          <w:tcPr>
            <w:tcW w:w="2358" w:type="dxa"/>
            <w:tcBorders>
              <w:bottom w:val="single" w:sz="4" w:space="0" w:color="7F7F7F"/>
            </w:tcBorders>
            <w:shd w:val="clear" w:color="auto" w:fill="auto"/>
          </w:tcPr>
          <w:p w14:paraId="289143B2" w14:textId="77777777" w:rsidR="00AE0010" w:rsidRPr="00C564F2" w:rsidRDefault="00AE0010" w:rsidP="00E122A5">
            <w:pPr>
              <w:jc w:val="center"/>
              <w:rPr>
                <w:b/>
                <w:bCs/>
                <w:lang w:val="en-ID"/>
              </w:rPr>
            </w:pPr>
            <w:r w:rsidRPr="00C564F2">
              <w:rPr>
                <w:b/>
                <w:bCs/>
                <w:lang w:val="en-ID"/>
              </w:rPr>
              <w:t>Variable</w:t>
            </w:r>
          </w:p>
        </w:tc>
        <w:tc>
          <w:tcPr>
            <w:tcW w:w="1926" w:type="dxa"/>
            <w:tcBorders>
              <w:bottom w:val="single" w:sz="4" w:space="0" w:color="7F7F7F"/>
            </w:tcBorders>
            <w:shd w:val="clear" w:color="auto" w:fill="auto"/>
          </w:tcPr>
          <w:p w14:paraId="67DEC021" w14:textId="77777777" w:rsidR="00AE0010" w:rsidRPr="00C564F2" w:rsidRDefault="00AE0010" w:rsidP="00E122A5">
            <w:pPr>
              <w:jc w:val="center"/>
              <w:rPr>
                <w:b/>
                <w:bCs/>
                <w:lang w:val="en-ID"/>
              </w:rPr>
            </w:pPr>
            <w:r w:rsidRPr="00C564F2">
              <w:rPr>
                <w:b/>
                <w:bCs/>
                <w:lang w:val="en-ID"/>
              </w:rPr>
              <w:t>All Banks: FE</w:t>
            </w:r>
          </w:p>
        </w:tc>
        <w:tc>
          <w:tcPr>
            <w:tcW w:w="1926" w:type="dxa"/>
            <w:tcBorders>
              <w:bottom w:val="single" w:sz="4" w:space="0" w:color="7F7F7F"/>
            </w:tcBorders>
            <w:shd w:val="clear" w:color="auto" w:fill="auto"/>
          </w:tcPr>
          <w:p w14:paraId="677DA23B" w14:textId="77777777" w:rsidR="00AE0010" w:rsidRPr="00C564F2" w:rsidRDefault="00AE0010" w:rsidP="00E122A5">
            <w:pPr>
              <w:jc w:val="center"/>
              <w:rPr>
                <w:b/>
                <w:bCs/>
                <w:lang w:val="en-ID"/>
              </w:rPr>
            </w:pPr>
            <w:r w:rsidRPr="00C564F2">
              <w:rPr>
                <w:b/>
                <w:bCs/>
                <w:lang w:val="en-ID"/>
              </w:rPr>
              <w:t>Large: FE</w:t>
            </w:r>
          </w:p>
        </w:tc>
        <w:tc>
          <w:tcPr>
            <w:tcW w:w="1928" w:type="dxa"/>
            <w:tcBorders>
              <w:bottom w:val="single" w:sz="4" w:space="0" w:color="7F7F7F"/>
            </w:tcBorders>
            <w:shd w:val="clear" w:color="auto" w:fill="auto"/>
          </w:tcPr>
          <w:p w14:paraId="59C58F05" w14:textId="77777777" w:rsidR="00AE0010" w:rsidRPr="00C564F2" w:rsidRDefault="00AE0010" w:rsidP="00E122A5">
            <w:pPr>
              <w:jc w:val="center"/>
              <w:rPr>
                <w:b/>
                <w:bCs/>
                <w:lang w:val="en-ID"/>
              </w:rPr>
            </w:pPr>
            <w:r w:rsidRPr="00C564F2">
              <w:rPr>
                <w:b/>
                <w:bCs/>
                <w:lang w:val="en-ID"/>
              </w:rPr>
              <w:t>Small: FE</w:t>
            </w:r>
          </w:p>
        </w:tc>
      </w:tr>
      <w:tr w:rsidR="00AE0010" w:rsidRPr="00C564F2" w14:paraId="7B3EDD95" w14:textId="77777777" w:rsidTr="00E122A5">
        <w:tc>
          <w:tcPr>
            <w:tcW w:w="2358" w:type="dxa"/>
            <w:tcBorders>
              <w:top w:val="single" w:sz="4" w:space="0" w:color="7F7F7F"/>
              <w:bottom w:val="single" w:sz="4" w:space="0" w:color="7F7F7F"/>
            </w:tcBorders>
            <w:shd w:val="clear" w:color="auto" w:fill="auto"/>
          </w:tcPr>
          <w:p w14:paraId="7ABC435D" w14:textId="77777777" w:rsidR="00AE0010" w:rsidRPr="00C564F2" w:rsidRDefault="00AE0010" w:rsidP="00E122A5">
            <w:pPr>
              <w:rPr>
                <w:bCs/>
                <w:lang w:val="en-ID"/>
              </w:rPr>
            </w:pPr>
            <w:r w:rsidRPr="00C564F2">
              <w:rPr>
                <w:b/>
                <w:bCs/>
                <w:lang w:val="en-ID"/>
              </w:rPr>
              <w:t>Constant</w:t>
            </w:r>
          </w:p>
        </w:tc>
        <w:tc>
          <w:tcPr>
            <w:tcW w:w="1926" w:type="dxa"/>
            <w:tcBorders>
              <w:top w:val="single" w:sz="4" w:space="0" w:color="7F7F7F"/>
              <w:bottom w:val="single" w:sz="4" w:space="0" w:color="7F7F7F"/>
            </w:tcBorders>
            <w:shd w:val="clear" w:color="auto" w:fill="auto"/>
          </w:tcPr>
          <w:p w14:paraId="23714E1C" w14:textId="77777777" w:rsidR="00AE0010" w:rsidRPr="00C564F2" w:rsidRDefault="00AE0010" w:rsidP="00E122A5">
            <w:pPr>
              <w:jc w:val="center"/>
              <w:rPr>
                <w:bCs/>
                <w:lang w:val="en-ID"/>
              </w:rPr>
            </w:pPr>
            <w:r w:rsidRPr="00C564F2">
              <w:rPr>
                <w:bCs/>
                <w:lang w:val="en-ID"/>
              </w:rPr>
              <w:t>3.459</w:t>
            </w:r>
          </w:p>
        </w:tc>
        <w:tc>
          <w:tcPr>
            <w:tcW w:w="1926" w:type="dxa"/>
            <w:tcBorders>
              <w:top w:val="single" w:sz="4" w:space="0" w:color="7F7F7F"/>
              <w:bottom w:val="single" w:sz="4" w:space="0" w:color="7F7F7F"/>
            </w:tcBorders>
            <w:shd w:val="clear" w:color="auto" w:fill="auto"/>
          </w:tcPr>
          <w:p w14:paraId="4CCE3D72" w14:textId="77777777" w:rsidR="00AE0010" w:rsidRPr="00C564F2" w:rsidRDefault="00AE0010" w:rsidP="00E122A5">
            <w:pPr>
              <w:jc w:val="center"/>
              <w:rPr>
                <w:bCs/>
                <w:lang w:val="en-ID"/>
              </w:rPr>
            </w:pPr>
            <w:r w:rsidRPr="00C564F2">
              <w:rPr>
                <w:bCs/>
                <w:lang w:val="en-ID"/>
              </w:rPr>
              <w:t>2.384</w:t>
            </w:r>
          </w:p>
        </w:tc>
        <w:tc>
          <w:tcPr>
            <w:tcW w:w="1928" w:type="dxa"/>
            <w:tcBorders>
              <w:top w:val="single" w:sz="4" w:space="0" w:color="7F7F7F"/>
              <w:bottom w:val="single" w:sz="4" w:space="0" w:color="7F7F7F"/>
            </w:tcBorders>
            <w:shd w:val="clear" w:color="auto" w:fill="auto"/>
          </w:tcPr>
          <w:p w14:paraId="1F181DE0" w14:textId="77777777" w:rsidR="00AE0010" w:rsidRPr="00C564F2" w:rsidRDefault="00AE0010" w:rsidP="00E122A5">
            <w:pPr>
              <w:jc w:val="center"/>
              <w:rPr>
                <w:bCs/>
                <w:lang w:val="en-ID"/>
              </w:rPr>
            </w:pPr>
            <w:r w:rsidRPr="00C564F2">
              <w:rPr>
                <w:bCs/>
                <w:lang w:val="en-ID"/>
              </w:rPr>
              <w:t>2.603</w:t>
            </w:r>
          </w:p>
        </w:tc>
      </w:tr>
      <w:tr w:rsidR="00AE0010" w:rsidRPr="00C564F2" w14:paraId="3DBB822E" w14:textId="77777777" w:rsidTr="00E122A5">
        <w:tc>
          <w:tcPr>
            <w:tcW w:w="2358" w:type="dxa"/>
            <w:shd w:val="clear" w:color="auto" w:fill="auto"/>
          </w:tcPr>
          <w:p w14:paraId="35C79AB6" w14:textId="77777777" w:rsidR="00AE0010" w:rsidRPr="00C564F2" w:rsidRDefault="00AE0010" w:rsidP="00E122A5">
            <w:pPr>
              <w:rPr>
                <w:b/>
                <w:bCs/>
                <w:lang w:val="en-ID"/>
              </w:rPr>
            </w:pPr>
          </w:p>
        </w:tc>
        <w:tc>
          <w:tcPr>
            <w:tcW w:w="1926" w:type="dxa"/>
            <w:shd w:val="clear" w:color="auto" w:fill="auto"/>
          </w:tcPr>
          <w:p w14:paraId="4586FC14" w14:textId="77777777" w:rsidR="00AE0010" w:rsidRPr="00C564F2" w:rsidRDefault="00AE0010" w:rsidP="00E122A5">
            <w:pPr>
              <w:jc w:val="center"/>
              <w:rPr>
                <w:bCs/>
                <w:lang w:val="en-ID"/>
              </w:rPr>
            </w:pPr>
            <w:r w:rsidRPr="00C564F2">
              <w:rPr>
                <w:bCs/>
                <w:lang w:val="en-ID"/>
              </w:rPr>
              <w:t>(0.006)</w:t>
            </w:r>
          </w:p>
        </w:tc>
        <w:tc>
          <w:tcPr>
            <w:tcW w:w="1926" w:type="dxa"/>
            <w:shd w:val="clear" w:color="auto" w:fill="auto"/>
          </w:tcPr>
          <w:p w14:paraId="66815B70" w14:textId="77777777" w:rsidR="00AE0010" w:rsidRPr="00C564F2" w:rsidRDefault="00AE0010" w:rsidP="00E122A5">
            <w:pPr>
              <w:jc w:val="center"/>
              <w:rPr>
                <w:bCs/>
                <w:lang w:val="en-ID"/>
              </w:rPr>
            </w:pPr>
            <w:r w:rsidRPr="00C564F2">
              <w:rPr>
                <w:bCs/>
                <w:lang w:val="en-ID"/>
              </w:rPr>
              <w:t>(0.018)</w:t>
            </w:r>
          </w:p>
        </w:tc>
        <w:tc>
          <w:tcPr>
            <w:tcW w:w="1928" w:type="dxa"/>
            <w:shd w:val="clear" w:color="auto" w:fill="auto"/>
          </w:tcPr>
          <w:p w14:paraId="0B9DBF2B" w14:textId="77777777" w:rsidR="00AE0010" w:rsidRPr="00C564F2" w:rsidRDefault="00AE0010" w:rsidP="00E122A5">
            <w:pPr>
              <w:jc w:val="center"/>
              <w:rPr>
                <w:bCs/>
                <w:lang w:val="en-ID"/>
              </w:rPr>
            </w:pPr>
            <w:r w:rsidRPr="00C564F2">
              <w:rPr>
                <w:bCs/>
                <w:lang w:val="en-ID"/>
              </w:rPr>
              <w:t>(0.010)</w:t>
            </w:r>
          </w:p>
        </w:tc>
      </w:tr>
      <w:tr w:rsidR="00AE0010" w:rsidRPr="00C564F2" w14:paraId="3E5AAA8A" w14:textId="77777777" w:rsidTr="00E122A5">
        <w:tc>
          <w:tcPr>
            <w:tcW w:w="2358" w:type="dxa"/>
            <w:tcBorders>
              <w:top w:val="single" w:sz="4" w:space="0" w:color="7F7F7F"/>
              <w:bottom w:val="single" w:sz="4" w:space="0" w:color="7F7F7F"/>
            </w:tcBorders>
            <w:shd w:val="clear" w:color="auto" w:fill="auto"/>
          </w:tcPr>
          <w:p w14:paraId="5D7DE2F8" w14:textId="77777777" w:rsidR="00AE0010" w:rsidRPr="00C564F2" w:rsidRDefault="00AE0010" w:rsidP="00E122A5">
            <w:pPr>
              <w:rPr>
                <w:b/>
                <w:bCs/>
                <w:lang w:val="en-ID"/>
              </w:rPr>
            </w:pPr>
            <w:proofErr w:type="spellStart"/>
            <w:r w:rsidRPr="00C564F2">
              <w:rPr>
                <w:b/>
                <w:bCs/>
                <w:lang w:val="en-ID"/>
              </w:rPr>
              <w:lastRenderedPageBreak/>
              <w:t>Ln_Size</w:t>
            </w:r>
            <w:proofErr w:type="spellEnd"/>
          </w:p>
        </w:tc>
        <w:tc>
          <w:tcPr>
            <w:tcW w:w="1926" w:type="dxa"/>
            <w:tcBorders>
              <w:top w:val="single" w:sz="4" w:space="0" w:color="7F7F7F"/>
              <w:bottom w:val="single" w:sz="4" w:space="0" w:color="7F7F7F"/>
            </w:tcBorders>
            <w:shd w:val="clear" w:color="auto" w:fill="auto"/>
          </w:tcPr>
          <w:p w14:paraId="41793024" w14:textId="77777777" w:rsidR="00AE0010" w:rsidRPr="00C564F2" w:rsidRDefault="00AE0010" w:rsidP="00E122A5">
            <w:pPr>
              <w:jc w:val="center"/>
              <w:rPr>
                <w:bCs/>
                <w:lang w:val="en-ID"/>
              </w:rPr>
            </w:pPr>
            <w:r w:rsidRPr="00C564F2">
              <w:rPr>
                <w:bCs/>
                <w:lang w:val="en-ID"/>
              </w:rPr>
              <w:t>-5.062</w:t>
            </w:r>
          </w:p>
        </w:tc>
        <w:tc>
          <w:tcPr>
            <w:tcW w:w="1926" w:type="dxa"/>
            <w:tcBorders>
              <w:top w:val="single" w:sz="4" w:space="0" w:color="7F7F7F"/>
              <w:bottom w:val="single" w:sz="4" w:space="0" w:color="7F7F7F"/>
            </w:tcBorders>
            <w:shd w:val="clear" w:color="auto" w:fill="auto"/>
          </w:tcPr>
          <w:p w14:paraId="6138AC11" w14:textId="77777777" w:rsidR="00AE0010" w:rsidRPr="00C564F2" w:rsidRDefault="00AE0010" w:rsidP="00E122A5">
            <w:pPr>
              <w:jc w:val="center"/>
              <w:rPr>
                <w:bCs/>
                <w:lang w:val="en-ID"/>
              </w:rPr>
            </w:pPr>
            <w:r w:rsidRPr="00C564F2">
              <w:rPr>
                <w:bCs/>
                <w:lang w:val="en-ID"/>
              </w:rPr>
              <w:t>-1.147</w:t>
            </w:r>
          </w:p>
        </w:tc>
        <w:tc>
          <w:tcPr>
            <w:tcW w:w="1928" w:type="dxa"/>
            <w:tcBorders>
              <w:top w:val="single" w:sz="4" w:space="0" w:color="7F7F7F"/>
              <w:bottom w:val="single" w:sz="4" w:space="0" w:color="7F7F7F"/>
            </w:tcBorders>
            <w:shd w:val="clear" w:color="auto" w:fill="auto"/>
          </w:tcPr>
          <w:p w14:paraId="562E03F5" w14:textId="77777777" w:rsidR="00AE0010" w:rsidRPr="00C564F2" w:rsidRDefault="00AE0010" w:rsidP="00E122A5">
            <w:pPr>
              <w:jc w:val="center"/>
              <w:rPr>
                <w:bCs/>
                <w:lang w:val="en-ID"/>
              </w:rPr>
            </w:pPr>
            <w:r w:rsidRPr="00C564F2">
              <w:rPr>
                <w:bCs/>
                <w:lang w:val="en-ID"/>
              </w:rPr>
              <w:t>-0.829</w:t>
            </w:r>
          </w:p>
        </w:tc>
      </w:tr>
      <w:tr w:rsidR="00AE0010" w:rsidRPr="00C564F2" w14:paraId="45BD609B" w14:textId="77777777" w:rsidTr="00E122A5">
        <w:tc>
          <w:tcPr>
            <w:tcW w:w="2358" w:type="dxa"/>
            <w:shd w:val="clear" w:color="auto" w:fill="auto"/>
          </w:tcPr>
          <w:p w14:paraId="374D567C" w14:textId="77777777" w:rsidR="00AE0010" w:rsidRPr="00C564F2" w:rsidRDefault="00AE0010" w:rsidP="00E122A5">
            <w:pPr>
              <w:rPr>
                <w:b/>
                <w:bCs/>
                <w:lang w:val="en-ID"/>
              </w:rPr>
            </w:pPr>
          </w:p>
        </w:tc>
        <w:tc>
          <w:tcPr>
            <w:tcW w:w="1926" w:type="dxa"/>
            <w:shd w:val="clear" w:color="auto" w:fill="auto"/>
          </w:tcPr>
          <w:p w14:paraId="2CFBB188" w14:textId="77777777" w:rsidR="00AE0010" w:rsidRPr="00C564F2" w:rsidRDefault="00AE0010" w:rsidP="00E122A5">
            <w:pPr>
              <w:jc w:val="center"/>
              <w:rPr>
                <w:bCs/>
                <w:lang w:val="en-ID"/>
              </w:rPr>
            </w:pPr>
            <w:r w:rsidRPr="00C564F2">
              <w:rPr>
                <w:bCs/>
                <w:lang w:val="en-ID"/>
              </w:rPr>
              <w:t>(</w:t>
            </w:r>
            <w:proofErr w:type="gramStart"/>
            <w:r w:rsidRPr="00C564F2">
              <w:rPr>
                <w:bCs/>
                <w:lang w:val="en-ID"/>
              </w:rPr>
              <w:t>0.000)*</w:t>
            </w:r>
            <w:proofErr w:type="gramEnd"/>
          </w:p>
        </w:tc>
        <w:tc>
          <w:tcPr>
            <w:tcW w:w="1926" w:type="dxa"/>
            <w:shd w:val="clear" w:color="auto" w:fill="auto"/>
          </w:tcPr>
          <w:p w14:paraId="4ED68A1E" w14:textId="77777777" w:rsidR="00AE0010" w:rsidRPr="00C564F2" w:rsidRDefault="00AE0010" w:rsidP="00E122A5">
            <w:pPr>
              <w:jc w:val="center"/>
              <w:rPr>
                <w:bCs/>
                <w:lang w:val="en-ID"/>
              </w:rPr>
            </w:pPr>
            <w:r w:rsidRPr="00C564F2">
              <w:rPr>
                <w:bCs/>
                <w:lang w:val="en-ID"/>
              </w:rPr>
              <w:t>(0.252)</w:t>
            </w:r>
          </w:p>
        </w:tc>
        <w:tc>
          <w:tcPr>
            <w:tcW w:w="1928" w:type="dxa"/>
            <w:shd w:val="clear" w:color="auto" w:fill="auto"/>
          </w:tcPr>
          <w:p w14:paraId="177D8754" w14:textId="77777777" w:rsidR="00AE0010" w:rsidRPr="00C564F2" w:rsidRDefault="00AE0010" w:rsidP="00E122A5">
            <w:pPr>
              <w:jc w:val="center"/>
              <w:rPr>
                <w:bCs/>
                <w:lang w:val="en-ID"/>
              </w:rPr>
            </w:pPr>
            <w:r w:rsidRPr="00C564F2">
              <w:rPr>
                <w:bCs/>
                <w:lang w:val="en-ID"/>
              </w:rPr>
              <w:t>(0.408)</w:t>
            </w:r>
          </w:p>
        </w:tc>
      </w:tr>
      <w:tr w:rsidR="00AE0010" w:rsidRPr="00C564F2" w14:paraId="109CAEA8" w14:textId="77777777" w:rsidTr="00E122A5">
        <w:tc>
          <w:tcPr>
            <w:tcW w:w="2358" w:type="dxa"/>
            <w:tcBorders>
              <w:top w:val="single" w:sz="4" w:space="0" w:color="7F7F7F"/>
              <w:bottom w:val="single" w:sz="4" w:space="0" w:color="7F7F7F"/>
            </w:tcBorders>
            <w:shd w:val="clear" w:color="auto" w:fill="auto"/>
          </w:tcPr>
          <w:p w14:paraId="0D2FF1E7" w14:textId="77777777" w:rsidR="00AE0010" w:rsidRPr="00C564F2" w:rsidRDefault="00AE0010" w:rsidP="00E122A5">
            <w:pPr>
              <w:rPr>
                <w:b/>
                <w:bCs/>
                <w:lang w:val="en-ID"/>
              </w:rPr>
            </w:pPr>
            <w:r w:rsidRPr="00C564F2">
              <w:rPr>
                <w:b/>
                <w:bCs/>
                <w:lang w:val="en-ID"/>
              </w:rPr>
              <w:t>FDR</w:t>
            </w:r>
          </w:p>
        </w:tc>
        <w:tc>
          <w:tcPr>
            <w:tcW w:w="1926" w:type="dxa"/>
            <w:tcBorders>
              <w:top w:val="single" w:sz="4" w:space="0" w:color="7F7F7F"/>
              <w:bottom w:val="single" w:sz="4" w:space="0" w:color="7F7F7F"/>
            </w:tcBorders>
            <w:shd w:val="clear" w:color="auto" w:fill="auto"/>
          </w:tcPr>
          <w:p w14:paraId="035FEB5C" w14:textId="77777777" w:rsidR="00AE0010" w:rsidRPr="00C564F2" w:rsidRDefault="00AE0010" w:rsidP="00E122A5">
            <w:pPr>
              <w:jc w:val="center"/>
              <w:rPr>
                <w:bCs/>
                <w:lang w:val="en-ID"/>
              </w:rPr>
            </w:pPr>
            <w:r w:rsidRPr="00C564F2">
              <w:rPr>
                <w:bCs/>
                <w:lang w:val="en-ID"/>
              </w:rPr>
              <w:t>-1.253</w:t>
            </w:r>
          </w:p>
        </w:tc>
        <w:tc>
          <w:tcPr>
            <w:tcW w:w="1926" w:type="dxa"/>
            <w:tcBorders>
              <w:top w:val="single" w:sz="4" w:space="0" w:color="7F7F7F"/>
              <w:bottom w:val="single" w:sz="4" w:space="0" w:color="7F7F7F"/>
            </w:tcBorders>
            <w:shd w:val="clear" w:color="auto" w:fill="auto"/>
          </w:tcPr>
          <w:p w14:paraId="11D4E3FE" w14:textId="77777777" w:rsidR="00AE0010" w:rsidRPr="00C564F2" w:rsidRDefault="00AE0010" w:rsidP="00E122A5">
            <w:pPr>
              <w:jc w:val="center"/>
              <w:rPr>
                <w:bCs/>
                <w:lang w:val="en-ID"/>
              </w:rPr>
            </w:pPr>
            <w:r w:rsidRPr="00C564F2">
              <w:rPr>
                <w:bCs/>
                <w:lang w:val="en-ID"/>
              </w:rPr>
              <w:t>2.348</w:t>
            </w:r>
          </w:p>
        </w:tc>
        <w:tc>
          <w:tcPr>
            <w:tcW w:w="1928" w:type="dxa"/>
            <w:tcBorders>
              <w:top w:val="single" w:sz="4" w:space="0" w:color="7F7F7F"/>
              <w:bottom w:val="single" w:sz="4" w:space="0" w:color="7F7F7F"/>
            </w:tcBorders>
            <w:shd w:val="clear" w:color="auto" w:fill="auto"/>
          </w:tcPr>
          <w:p w14:paraId="2F3B4A43" w14:textId="77777777" w:rsidR="00AE0010" w:rsidRPr="00C564F2" w:rsidRDefault="00AE0010" w:rsidP="00E122A5">
            <w:pPr>
              <w:jc w:val="center"/>
              <w:rPr>
                <w:bCs/>
                <w:lang w:val="en-ID"/>
              </w:rPr>
            </w:pPr>
            <w:r w:rsidRPr="00C564F2">
              <w:rPr>
                <w:bCs/>
                <w:lang w:val="en-ID"/>
              </w:rPr>
              <w:t>-0.807</w:t>
            </w:r>
          </w:p>
        </w:tc>
      </w:tr>
      <w:tr w:rsidR="00AE0010" w:rsidRPr="00C564F2" w14:paraId="73DF24F7" w14:textId="77777777" w:rsidTr="00E122A5">
        <w:tc>
          <w:tcPr>
            <w:tcW w:w="2358" w:type="dxa"/>
            <w:shd w:val="clear" w:color="auto" w:fill="auto"/>
          </w:tcPr>
          <w:p w14:paraId="65E50CFD" w14:textId="77777777" w:rsidR="00AE0010" w:rsidRPr="00C564F2" w:rsidRDefault="00AE0010" w:rsidP="00E122A5">
            <w:pPr>
              <w:rPr>
                <w:b/>
                <w:bCs/>
                <w:lang w:val="en-ID"/>
              </w:rPr>
            </w:pPr>
          </w:p>
        </w:tc>
        <w:tc>
          <w:tcPr>
            <w:tcW w:w="1926" w:type="dxa"/>
            <w:shd w:val="clear" w:color="auto" w:fill="auto"/>
          </w:tcPr>
          <w:p w14:paraId="1F303B53" w14:textId="77777777" w:rsidR="00AE0010" w:rsidRPr="00C564F2" w:rsidRDefault="00AE0010" w:rsidP="00E122A5">
            <w:pPr>
              <w:jc w:val="center"/>
              <w:rPr>
                <w:bCs/>
                <w:lang w:val="en-ID"/>
              </w:rPr>
            </w:pPr>
            <w:r w:rsidRPr="00C564F2">
              <w:rPr>
                <w:bCs/>
                <w:lang w:val="en-ID"/>
              </w:rPr>
              <w:t>(0.210)</w:t>
            </w:r>
          </w:p>
        </w:tc>
        <w:tc>
          <w:tcPr>
            <w:tcW w:w="1926" w:type="dxa"/>
            <w:shd w:val="clear" w:color="auto" w:fill="auto"/>
          </w:tcPr>
          <w:p w14:paraId="1860AAD5" w14:textId="77777777" w:rsidR="00AE0010" w:rsidRPr="00C564F2" w:rsidRDefault="00AE0010" w:rsidP="00E122A5">
            <w:pPr>
              <w:jc w:val="center"/>
              <w:rPr>
                <w:bCs/>
                <w:lang w:val="en-ID"/>
              </w:rPr>
            </w:pPr>
            <w:r w:rsidRPr="00C564F2">
              <w:rPr>
                <w:bCs/>
                <w:lang w:val="en-ID"/>
              </w:rPr>
              <w:t>(</w:t>
            </w:r>
            <w:proofErr w:type="gramStart"/>
            <w:r w:rsidRPr="00C564F2">
              <w:rPr>
                <w:bCs/>
                <w:lang w:val="en-ID"/>
              </w:rPr>
              <w:t>0.019)*</w:t>
            </w:r>
            <w:proofErr w:type="gramEnd"/>
          </w:p>
        </w:tc>
        <w:tc>
          <w:tcPr>
            <w:tcW w:w="1928" w:type="dxa"/>
            <w:shd w:val="clear" w:color="auto" w:fill="auto"/>
          </w:tcPr>
          <w:p w14:paraId="4F867263" w14:textId="77777777" w:rsidR="00AE0010" w:rsidRPr="00C564F2" w:rsidRDefault="00AE0010" w:rsidP="00E122A5">
            <w:pPr>
              <w:jc w:val="center"/>
              <w:rPr>
                <w:bCs/>
                <w:lang w:val="en-ID"/>
              </w:rPr>
            </w:pPr>
            <w:r w:rsidRPr="00C564F2">
              <w:rPr>
                <w:bCs/>
                <w:lang w:val="en-ID"/>
              </w:rPr>
              <w:t>(0.427)</w:t>
            </w:r>
          </w:p>
        </w:tc>
      </w:tr>
      <w:tr w:rsidR="00AE0010" w:rsidRPr="00C564F2" w14:paraId="78B521B7" w14:textId="77777777" w:rsidTr="00E122A5">
        <w:tc>
          <w:tcPr>
            <w:tcW w:w="2358" w:type="dxa"/>
            <w:tcBorders>
              <w:top w:val="single" w:sz="4" w:space="0" w:color="7F7F7F"/>
              <w:bottom w:val="single" w:sz="4" w:space="0" w:color="7F7F7F"/>
            </w:tcBorders>
            <w:shd w:val="clear" w:color="auto" w:fill="auto"/>
          </w:tcPr>
          <w:p w14:paraId="529A123D" w14:textId="77777777" w:rsidR="00AE0010" w:rsidRPr="00C564F2" w:rsidRDefault="00AE0010" w:rsidP="00E122A5">
            <w:pPr>
              <w:rPr>
                <w:b/>
                <w:bCs/>
                <w:lang w:val="en-ID"/>
              </w:rPr>
            </w:pPr>
            <w:r>
              <w:rPr>
                <w:b/>
                <w:bCs/>
                <w:lang w:val="en-ID"/>
              </w:rPr>
              <w:t>OER</w:t>
            </w:r>
          </w:p>
        </w:tc>
        <w:tc>
          <w:tcPr>
            <w:tcW w:w="1926" w:type="dxa"/>
            <w:tcBorders>
              <w:top w:val="single" w:sz="4" w:space="0" w:color="7F7F7F"/>
              <w:bottom w:val="single" w:sz="4" w:space="0" w:color="7F7F7F"/>
            </w:tcBorders>
            <w:shd w:val="clear" w:color="auto" w:fill="auto"/>
          </w:tcPr>
          <w:p w14:paraId="7BBA8765" w14:textId="77777777" w:rsidR="00AE0010" w:rsidRPr="00C564F2" w:rsidRDefault="00AE0010" w:rsidP="00E122A5">
            <w:pPr>
              <w:jc w:val="center"/>
              <w:rPr>
                <w:bCs/>
                <w:lang w:val="en-ID"/>
              </w:rPr>
            </w:pPr>
            <w:r w:rsidRPr="00C564F2">
              <w:rPr>
                <w:bCs/>
                <w:lang w:val="en-ID"/>
              </w:rPr>
              <w:t>-2.743</w:t>
            </w:r>
          </w:p>
        </w:tc>
        <w:tc>
          <w:tcPr>
            <w:tcW w:w="1926" w:type="dxa"/>
            <w:tcBorders>
              <w:top w:val="single" w:sz="4" w:space="0" w:color="7F7F7F"/>
              <w:bottom w:val="single" w:sz="4" w:space="0" w:color="7F7F7F"/>
            </w:tcBorders>
            <w:shd w:val="clear" w:color="auto" w:fill="auto"/>
          </w:tcPr>
          <w:p w14:paraId="3DE93AB5" w14:textId="77777777" w:rsidR="00AE0010" w:rsidRPr="00C564F2" w:rsidRDefault="00AE0010" w:rsidP="00E122A5">
            <w:pPr>
              <w:jc w:val="center"/>
              <w:rPr>
                <w:bCs/>
                <w:lang w:val="en-ID"/>
              </w:rPr>
            </w:pPr>
            <w:r w:rsidRPr="00C564F2">
              <w:rPr>
                <w:bCs/>
                <w:lang w:val="en-ID"/>
              </w:rPr>
              <w:t>1.577</w:t>
            </w:r>
          </w:p>
        </w:tc>
        <w:tc>
          <w:tcPr>
            <w:tcW w:w="1928" w:type="dxa"/>
            <w:tcBorders>
              <w:top w:val="single" w:sz="4" w:space="0" w:color="7F7F7F"/>
              <w:bottom w:val="single" w:sz="4" w:space="0" w:color="7F7F7F"/>
            </w:tcBorders>
            <w:shd w:val="clear" w:color="auto" w:fill="auto"/>
          </w:tcPr>
          <w:p w14:paraId="377E05E6" w14:textId="77777777" w:rsidR="00AE0010" w:rsidRPr="00C564F2" w:rsidRDefault="00AE0010" w:rsidP="00E122A5">
            <w:pPr>
              <w:jc w:val="center"/>
              <w:rPr>
                <w:bCs/>
                <w:lang w:val="en-ID"/>
              </w:rPr>
            </w:pPr>
            <w:r w:rsidRPr="00C564F2">
              <w:rPr>
                <w:bCs/>
                <w:lang w:val="en-ID"/>
              </w:rPr>
              <w:t>-1.897</w:t>
            </w:r>
          </w:p>
        </w:tc>
      </w:tr>
      <w:tr w:rsidR="00AE0010" w:rsidRPr="00C564F2" w14:paraId="1FA8EE8E" w14:textId="77777777" w:rsidTr="00E122A5">
        <w:tc>
          <w:tcPr>
            <w:tcW w:w="2358" w:type="dxa"/>
            <w:shd w:val="clear" w:color="auto" w:fill="auto"/>
          </w:tcPr>
          <w:p w14:paraId="57DB6F87" w14:textId="77777777" w:rsidR="00AE0010" w:rsidRPr="00C564F2" w:rsidRDefault="00AE0010" w:rsidP="00E122A5">
            <w:pPr>
              <w:rPr>
                <w:b/>
                <w:bCs/>
                <w:lang w:val="en-ID"/>
              </w:rPr>
            </w:pPr>
          </w:p>
        </w:tc>
        <w:tc>
          <w:tcPr>
            <w:tcW w:w="1926" w:type="dxa"/>
            <w:shd w:val="clear" w:color="auto" w:fill="auto"/>
          </w:tcPr>
          <w:p w14:paraId="1852663C" w14:textId="77777777" w:rsidR="00AE0010" w:rsidRPr="00C564F2" w:rsidRDefault="00AE0010" w:rsidP="00E122A5">
            <w:pPr>
              <w:jc w:val="center"/>
              <w:rPr>
                <w:bCs/>
                <w:lang w:val="en-ID"/>
              </w:rPr>
            </w:pPr>
            <w:r w:rsidRPr="00C564F2">
              <w:rPr>
                <w:bCs/>
                <w:lang w:val="en-ID"/>
              </w:rPr>
              <w:t>(</w:t>
            </w:r>
            <w:proofErr w:type="gramStart"/>
            <w:r w:rsidRPr="00C564F2">
              <w:rPr>
                <w:bCs/>
                <w:lang w:val="en-ID"/>
              </w:rPr>
              <w:t>0.006)*</w:t>
            </w:r>
            <w:proofErr w:type="gramEnd"/>
          </w:p>
        </w:tc>
        <w:tc>
          <w:tcPr>
            <w:tcW w:w="1926" w:type="dxa"/>
            <w:shd w:val="clear" w:color="auto" w:fill="auto"/>
          </w:tcPr>
          <w:p w14:paraId="2C28DD9F" w14:textId="77777777" w:rsidR="00AE0010" w:rsidRPr="00C564F2" w:rsidRDefault="00AE0010" w:rsidP="00E122A5">
            <w:pPr>
              <w:jc w:val="center"/>
              <w:rPr>
                <w:bCs/>
                <w:lang w:val="en-ID"/>
              </w:rPr>
            </w:pPr>
            <w:r w:rsidRPr="00C564F2">
              <w:rPr>
                <w:bCs/>
                <w:lang w:val="en-ID"/>
              </w:rPr>
              <w:t>(0.116)</w:t>
            </w:r>
          </w:p>
        </w:tc>
        <w:tc>
          <w:tcPr>
            <w:tcW w:w="1928" w:type="dxa"/>
            <w:shd w:val="clear" w:color="auto" w:fill="auto"/>
          </w:tcPr>
          <w:p w14:paraId="36CADDBA" w14:textId="77777777" w:rsidR="00AE0010" w:rsidRPr="00C564F2" w:rsidRDefault="00AE0010" w:rsidP="00E122A5">
            <w:pPr>
              <w:jc w:val="center"/>
              <w:rPr>
                <w:bCs/>
                <w:lang w:val="en-ID"/>
              </w:rPr>
            </w:pPr>
            <w:r w:rsidRPr="00C564F2">
              <w:rPr>
                <w:bCs/>
                <w:lang w:val="en-ID"/>
              </w:rPr>
              <w:t>(</w:t>
            </w:r>
            <w:proofErr w:type="gramStart"/>
            <w:r w:rsidRPr="00C564F2">
              <w:rPr>
                <w:bCs/>
                <w:lang w:val="en-ID"/>
              </w:rPr>
              <w:t>0.059)*</w:t>
            </w:r>
            <w:proofErr w:type="gramEnd"/>
          </w:p>
        </w:tc>
      </w:tr>
      <w:tr w:rsidR="00AE0010" w:rsidRPr="00C564F2" w14:paraId="251B0A28" w14:textId="77777777" w:rsidTr="00E122A5">
        <w:tc>
          <w:tcPr>
            <w:tcW w:w="2358" w:type="dxa"/>
            <w:tcBorders>
              <w:top w:val="single" w:sz="4" w:space="0" w:color="7F7F7F"/>
              <w:bottom w:val="single" w:sz="4" w:space="0" w:color="7F7F7F"/>
            </w:tcBorders>
            <w:shd w:val="clear" w:color="auto" w:fill="auto"/>
          </w:tcPr>
          <w:p w14:paraId="2ED48A17" w14:textId="77777777" w:rsidR="00AE0010" w:rsidRPr="00C564F2" w:rsidRDefault="00AE0010" w:rsidP="00E122A5">
            <w:pPr>
              <w:rPr>
                <w:b/>
                <w:bCs/>
                <w:lang w:val="en-ID"/>
              </w:rPr>
            </w:pPr>
            <w:proofErr w:type="spellStart"/>
            <w:r w:rsidRPr="00C564F2">
              <w:rPr>
                <w:b/>
                <w:bCs/>
                <w:lang w:val="en-ID"/>
              </w:rPr>
              <w:t>Ln_</w:t>
            </w:r>
            <w:r>
              <w:rPr>
                <w:b/>
                <w:bCs/>
                <w:lang w:val="en-ID"/>
              </w:rPr>
              <w:t>GRDP</w:t>
            </w:r>
            <w:proofErr w:type="spellEnd"/>
          </w:p>
        </w:tc>
        <w:tc>
          <w:tcPr>
            <w:tcW w:w="1926" w:type="dxa"/>
            <w:tcBorders>
              <w:top w:val="single" w:sz="4" w:space="0" w:color="7F7F7F"/>
              <w:bottom w:val="single" w:sz="4" w:space="0" w:color="7F7F7F"/>
            </w:tcBorders>
            <w:shd w:val="clear" w:color="auto" w:fill="auto"/>
          </w:tcPr>
          <w:p w14:paraId="2AC2594B" w14:textId="77777777" w:rsidR="00AE0010" w:rsidRPr="00C564F2" w:rsidRDefault="00AE0010" w:rsidP="00E122A5">
            <w:pPr>
              <w:jc w:val="center"/>
              <w:rPr>
                <w:bCs/>
                <w:lang w:val="en-ID"/>
              </w:rPr>
            </w:pPr>
            <w:r w:rsidRPr="00C564F2">
              <w:rPr>
                <w:bCs/>
                <w:lang w:val="en-ID"/>
              </w:rPr>
              <w:t>-1.747</w:t>
            </w:r>
          </w:p>
        </w:tc>
        <w:tc>
          <w:tcPr>
            <w:tcW w:w="1926" w:type="dxa"/>
            <w:tcBorders>
              <w:top w:val="single" w:sz="4" w:space="0" w:color="7F7F7F"/>
              <w:bottom w:val="single" w:sz="4" w:space="0" w:color="7F7F7F"/>
            </w:tcBorders>
            <w:shd w:val="clear" w:color="auto" w:fill="auto"/>
          </w:tcPr>
          <w:p w14:paraId="7CE849EA" w14:textId="77777777" w:rsidR="00AE0010" w:rsidRPr="00C564F2" w:rsidRDefault="00AE0010" w:rsidP="00E122A5">
            <w:pPr>
              <w:jc w:val="center"/>
              <w:rPr>
                <w:bCs/>
                <w:lang w:val="en-ID"/>
              </w:rPr>
            </w:pPr>
            <w:r w:rsidRPr="00C564F2">
              <w:rPr>
                <w:bCs/>
                <w:lang w:val="en-ID"/>
              </w:rPr>
              <w:t>-1.940</w:t>
            </w:r>
          </w:p>
        </w:tc>
        <w:tc>
          <w:tcPr>
            <w:tcW w:w="1928" w:type="dxa"/>
            <w:tcBorders>
              <w:top w:val="single" w:sz="4" w:space="0" w:color="7F7F7F"/>
              <w:bottom w:val="single" w:sz="4" w:space="0" w:color="7F7F7F"/>
            </w:tcBorders>
            <w:shd w:val="clear" w:color="auto" w:fill="auto"/>
          </w:tcPr>
          <w:p w14:paraId="766894A2" w14:textId="77777777" w:rsidR="00AE0010" w:rsidRPr="00C564F2" w:rsidRDefault="00AE0010" w:rsidP="00E122A5">
            <w:pPr>
              <w:jc w:val="center"/>
              <w:rPr>
                <w:bCs/>
                <w:lang w:val="en-ID"/>
              </w:rPr>
            </w:pPr>
            <w:r w:rsidRPr="00C564F2">
              <w:rPr>
                <w:bCs/>
                <w:lang w:val="en-ID"/>
              </w:rPr>
              <w:t>-2.076</w:t>
            </w:r>
          </w:p>
        </w:tc>
      </w:tr>
      <w:tr w:rsidR="00AE0010" w:rsidRPr="00C564F2" w14:paraId="46DD2D75" w14:textId="77777777" w:rsidTr="00E122A5">
        <w:tc>
          <w:tcPr>
            <w:tcW w:w="2358" w:type="dxa"/>
            <w:shd w:val="clear" w:color="auto" w:fill="auto"/>
          </w:tcPr>
          <w:p w14:paraId="19616B63" w14:textId="77777777" w:rsidR="00AE0010" w:rsidRPr="00C564F2" w:rsidRDefault="00AE0010" w:rsidP="00E122A5">
            <w:pPr>
              <w:rPr>
                <w:b/>
                <w:bCs/>
                <w:lang w:val="en-ID"/>
              </w:rPr>
            </w:pPr>
          </w:p>
        </w:tc>
        <w:tc>
          <w:tcPr>
            <w:tcW w:w="1926" w:type="dxa"/>
            <w:shd w:val="clear" w:color="auto" w:fill="auto"/>
          </w:tcPr>
          <w:p w14:paraId="49617A0C" w14:textId="77777777" w:rsidR="00AE0010" w:rsidRPr="00C564F2" w:rsidRDefault="00AE0010" w:rsidP="00E122A5">
            <w:pPr>
              <w:jc w:val="center"/>
              <w:rPr>
                <w:bCs/>
                <w:lang w:val="en-ID"/>
              </w:rPr>
            </w:pPr>
            <w:r w:rsidRPr="00C564F2">
              <w:rPr>
                <w:bCs/>
                <w:lang w:val="en-ID"/>
              </w:rPr>
              <w:t>(0.081)</w:t>
            </w:r>
          </w:p>
        </w:tc>
        <w:tc>
          <w:tcPr>
            <w:tcW w:w="1926" w:type="dxa"/>
            <w:shd w:val="clear" w:color="auto" w:fill="auto"/>
          </w:tcPr>
          <w:p w14:paraId="3B940A55" w14:textId="77777777" w:rsidR="00AE0010" w:rsidRPr="00C564F2" w:rsidRDefault="00AE0010" w:rsidP="00E122A5">
            <w:pPr>
              <w:jc w:val="center"/>
              <w:rPr>
                <w:bCs/>
                <w:lang w:val="en-ID"/>
              </w:rPr>
            </w:pPr>
            <w:r w:rsidRPr="00C564F2">
              <w:rPr>
                <w:bCs/>
                <w:lang w:val="en-ID"/>
              </w:rPr>
              <w:t>(</w:t>
            </w:r>
            <w:proofErr w:type="gramStart"/>
            <w:r w:rsidRPr="00C564F2">
              <w:rPr>
                <w:bCs/>
                <w:lang w:val="en-ID"/>
              </w:rPr>
              <w:t>0.053)*</w:t>
            </w:r>
            <w:proofErr w:type="gramEnd"/>
          </w:p>
        </w:tc>
        <w:tc>
          <w:tcPr>
            <w:tcW w:w="1928" w:type="dxa"/>
            <w:shd w:val="clear" w:color="auto" w:fill="auto"/>
          </w:tcPr>
          <w:p w14:paraId="395D2EE7" w14:textId="77777777" w:rsidR="00AE0010" w:rsidRPr="00C564F2" w:rsidRDefault="00AE0010" w:rsidP="00E122A5">
            <w:pPr>
              <w:jc w:val="center"/>
              <w:rPr>
                <w:bCs/>
                <w:lang w:val="en-ID"/>
              </w:rPr>
            </w:pPr>
            <w:r w:rsidRPr="00C564F2">
              <w:rPr>
                <w:bCs/>
                <w:lang w:val="en-ID"/>
              </w:rPr>
              <w:t>(</w:t>
            </w:r>
            <w:proofErr w:type="gramStart"/>
            <w:r w:rsidRPr="00C564F2">
              <w:rPr>
                <w:bCs/>
                <w:lang w:val="en-ID"/>
              </w:rPr>
              <w:t>0.039)*</w:t>
            </w:r>
            <w:proofErr w:type="gramEnd"/>
          </w:p>
        </w:tc>
      </w:tr>
      <w:tr w:rsidR="00AE0010" w:rsidRPr="00C564F2" w14:paraId="1FFCBDFC" w14:textId="77777777" w:rsidTr="00E122A5">
        <w:tc>
          <w:tcPr>
            <w:tcW w:w="2358" w:type="dxa"/>
            <w:tcBorders>
              <w:top w:val="single" w:sz="4" w:space="0" w:color="7F7F7F"/>
              <w:bottom w:val="single" w:sz="4" w:space="0" w:color="7F7F7F"/>
            </w:tcBorders>
            <w:shd w:val="clear" w:color="auto" w:fill="auto"/>
          </w:tcPr>
          <w:p w14:paraId="2E25BDAB" w14:textId="77777777" w:rsidR="00AE0010" w:rsidRPr="00C564F2" w:rsidRDefault="00AE0010" w:rsidP="00E122A5">
            <w:pPr>
              <w:rPr>
                <w:b/>
                <w:bCs/>
                <w:lang w:val="en-ID"/>
              </w:rPr>
            </w:pPr>
            <w:r w:rsidRPr="00C564F2">
              <w:rPr>
                <w:b/>
                <w:bCs/>
                <w:lang w:val="en-ID"/>
              </w:rPr>
              <w:t>Chow-test (prob)</w:t>
            </w:r>
          </w:p>
        </w:tc>
        <w:tc>
          <w:tcPr>
            <w:tcW w:w="1926" w:type="dxa"/>
            <w:tcBorders>
              <w:top w:val="single" w:sz="4" w:space="0" w:color="7F7F7F"/>
              <w:bottom w:val="single" w:sz="4" w:space="0" w:color="7F7F7F"/>
            </w:tcBorders>
            <w:shd w:val="clear" w:color="auto" w:fill="auto"/>
          </w:tcPr>
          <w:p w14:paraId="78EA0CA1" w14:textId="77777777" w:rsidR="00AE0010" w:rsidRPr="00C564F2" w:rsidRDefault="00AE0010" w:rsidP="00E122A5">
            <w:pPr>
              <w:jc w:val="center"/>
              <w:rPr>
                <w:bCs/>
                <w:lang w:val="en-ID"/>
              </w:rPr>
            </w:pPr>
            <w:r w:rsidRPr="00C564F2">
              <w:rPr>
                <w:bCs/>
                <w:lang w:val="en-ID"/>
              </w:rPr>
              <w:t>0.000</w:t>
            </w:r>
          </w:p>
        </w:tc>
        <w:tc>
          <w:tcPr>
            <w:tcW w:w="1926" w:type="dxa"/>
            <w:tcBorders>
              <w:top w:val="single" w:sz="4" w:space="0" w:color="7F7F7F"/>
              <w:bottom w:val="single" w:sz="4" w:space="0" w:color="7F7F7F"/>
            </w:tcBorders>
            <w:shd w:val="clear" w:color="auto" w:fill="auto"/>
          </w:tcPr>
          <w:p w14:paraId="45F36F94" w14:textId="77777777" w:rsidR="00AE0010" w:rsidRPr="00C564F2" w:rsidRDefault="00AE0010" w:rsidP="00E122A5">
            <w:pPr>
              <w:jc w:val="center"/>
              <w:rPr>
                <w:bCs/>
                <w:lang w:val="en-ID"/>
              </w:rPr>
            </w:pPr>
            <w:r w:rsidRPr="00C564F2">
              <w:rPr>
                <w:bCs/>
                <w:lang w:val="en-ID"/>
              </w:rPr>
              <w:t>0.000</w:t>
            </w:r>
          </w:p>
        </w:tc>
        <w:tc>
          <w:tcPr>
            <w:tcW w:w="1928" w:type="dxa"/>
            <w:tcBorders>
              <w:top w:val="single" w:sz="4" w:space="0" w:color="7F7F7F"/>
              <w:bottom w:val="single" w:sz="4" w:space="0" w:color="7F7F7F"/>
            </w:tcBorders>
            <w:shd w:val="clear" w:color="auto" w:fill="auto"/>
          </w:tcPr>
          <w:p w14:paraId="270C5A9B" w14:textId="77777777" w:rsidR="00AE0010" w:rsidRPr="00C564F2" w:rsidRDefault="00AE0010" w:rsidP="00E122A5">
            <w:pPr>
              <w:jc w:val="center"/>
              <w:rPr>
                <w:bCs/>
                <w:lang w:val="en-ID"/>
              </w:rPr>
            </w:pPr>
            <w:r w:rsidRPr="00C564F2">
              <w:rPr>
                <w:bCs/>
                <w:lang w:val="en-ID"/>
              </w:rPr>
              <w:t>0.000</w:t>
            </w:r>
          </w:p>
        </w:tc>
      </w:tr>
      <w:tr w:rsidR="00AE0010" w:rsidRPr="00C564F2" w14:paraId="1C2CD163" w14:textId="77777777" w:rsidTr="00E122A5">
        <w:tc>
          <w:tcPr>
            <w:tcW w:w="2358" w:type="dxa"/>
            <w:tcBorders>
              <w:top w:val="single" w:sz="4" w:space="0" w:color="7F7F7F"/>
              <w:bottom w:val="single" w:sz="4" w:space="0" w:color="auto"/>
            </w:tcBorders>
            <w:shd w:val="clear" w:color="auto" w:fill="auto"/>
          </w:tcPr>
          <w:p w14:paraId="3E111F93" w14:textId="77777777" w:rsidR="00AE0010" w:rsidRPr="00C564F2" w:rsidRDefault="00AE0010" w:rsidP="00E122A5">
            <w:pPr>
              <w:rPr>
                <w:b/>
                <w:bCs/>
                <w:lang w:val="en-ID"/>
              </w:rPr>
            </w:pPr>
            <w:r w:rsidRPr="00C564F2">
              <w:rPr>
                <w:b/>
                <w:bCs/>
                <w:lang w:val="en-ID"/>
              </w:rPr>
              <w:t>Hausman-test (prob)</w:t>
            </w:r>
          </w:p>
        </w:tc>
        <w:tc>
          <w:tcPr>
            <w:tcW w:w="1926" w:type="dxa"/>
            <w:tcBorders>
              <w:top w:val="single" w:sz="4" w:space="0" w:color="7F7F7F"/>
              <w:bottom w:val="single" w:sz="4" w:space="0" w:color="auto"/>
            </w:tcBorders>
            <w:shd w:val="clear" w:color="auto" w:fill="auto"/>
          </w:tcPr>
          <w:p w14:paraId="31F518A1" w14:textId="77777777" w:rsidR="00AE0010" w:rsidRPr="00C564F2" w:rsidRDefault="00AE0010" w:rsidP="00E122A5">
            <w:pPr>
              <w:jc w:val="center"/>
              <w:rPr>
                <w:bCs/>
                <w:lang w:val="en-ID"/>
              </w:rPr>
            </w:pPr>
            <w:r w:rsidRPr="00C564F2">
              <w:rPr>
                <w:bCs/>
                <w:lang w:val="en-ID"/>
              </w:rPr>
              <w:t>0.000</w:t>
            </w:r>
          </w:p>
        </w:tc>
        <w:tc>
          <w:tcPr>
            <w:tcW w:w="1926" w:type="dxa"/>
            <w:tcBorders>
              <w:top w:val="single" w:sz="4" w:space="0" w:color="7F7F7F"/>
              <w:bottom w:val="single" w:sz="4" w:space="0" w:color="auto"/>
            </w:tcBorders>
            <w:shd w:val="clear" w:color="auto" w:fill="auto"/>
          </w:tcPr>
          <w:p w14:paraId="22BEA43E" w14:textId="77777777" w:rsidR="00AE0010" w:rsidRPr="00C564F2" w:rsidRDefault="00AE0010" w:rsidP="00E122A5">
            <w:pPr>
              <w:jc w:val="center"/>
              <w:rPr>
                <w:bCs/>
                <w:lang w:val="en-ID"/>
              </w:rPr>
            </w:pPr>
            <w:r w:rsidRPr="00C564F2">
              <w:rPr>
                <w:bCs/>
                <w:lang w:val="en-ID"/>
              </w:rPr>
              <w:t>0.008</w:t>
            </w:r>
          </w:p>
        </w:tc>
        <w:tc>
          <w:tcPr>
            <w:tcW w:w="1928" w:type="dxa"/>
            <w:tcBorders>
              <w:top w:val="single" w:sz="4" w:space="0" w:color="7F7F7F"/>
              <w:bottom w:val="single" w:sz="4" w:space="0" w:color="auto"/>
            </w:tcBorders>
            <w:shd w:val="clear" w:color="auto" w:fill="auto"/>
          </w:tcPr>
          <w:p w14:paraId="06AFAA81" w14:textId="77777777" w:rsidR="00AE0010" w:rsidRPr="00C564F2" w:rsidRDefault="00AE0010" w:rsidP="00E122A5">
            <w:pPr>
              <w:jc w:val="center"/>
              <w:rPr>
                <w:bCs/>
                <w:lang w:val="en-ID"/>
              </w:rPr>
            </w:pPr>
            <w:r w:rsidRPr="00C564F2">
              <w:rPr>
                <w:bCs/>
                <w:lang w:val="en-ID"/>
              </w:rPr>
              <w:t>0.020</w:t>
            </w:r>
          </w:p>
        </w:tc>
      </w:tr>
      <w:tr w:rsidR="00AE0010" w:rsidRPr="00C564F2" w14:paraId="2E2587E8" w14:textId="77777777" w:rsidTr="00E122A5">
        <w:tc>
          <w:tcPr>
            <w:tcW w:w="8138" w:type="dxa"/>
            <w:gridSpan w:val="4"/>
            <w:tcBorders>
              <w:top w:val="single" w:sz="4" w:space="0" w:color="auto"/>
              <w:bottom w:val="nil"/>
            </w:tcBorders>
            <w:shd w:val="clear" w:color="auto" w:fill="auto"/>
          </w:tcPr>
          <w:p w14:paraId="7E69711E" w14:textId="77777777" w:rsidR="00AE0010" w:rsidRPr="00C564F2" w:rsidRDefault="00AE0010" w:rsidP="00E122A5">
            <w:pPr>
              <w:rPr>
                <w:lang w:val="en-ID"/>
              </w:rPr>
            </w:pPr>
            <w:r w:rsidRPr="00C564F2">
              <w:rPr>
                <w:lang w:val="en-ID"/>
              </w:rPr>
              <w:t>Note: *are statistically significant at α = 5%</w:t>
            </w:r>
          </w:p>
        </w:tc>
      </w:tr>
    </w:tbl>
    <w:p w14:paraId="70DB9A6F" w14:textId="77777777" w:rsidR="00AE0010" w:rsidRPr="00C564F2" w:rsidRDefault="00AE0010" w:rsidP="00AE0010">
      <w:pPr>
        <w:jc w:val="both"/>
        <w:rPr>
          <w:b/>
          <w:lang w:val="en-ID"/>
        </w:rPr>
      </w:pPr>
    </w:p>
    <w:p w14:paraId="33C07548" w14:textId="77777777" w:rsidR="00AE0010" w:rsidRPr="00C564F2" w:rsidRDefault="00AE0010" w:rsidP="00AE0010">
      <w:pPr>
        <w:ind w:firstLine="450"/>
        <w:jc w:val="both"/>
        <w:rPr>
          <w:bCs/>
        </w:rPr>
      </w:pPr>
      <w:r w:rsidRPr="00C564F2">
        <w:rPr>
          <w:bCs/>
        </w:rPr>
        <w:t xml:space="preserve">Bank size has a negative effect on all banks, although large and small banks are not significant. FDR valued negative but not significant effect on the data of all banks. On large bank data, FDR estimated a positive and significant effect. Meanwhile, in small banks FDR has a negative and insignificant effect. Large banks have a tendency to </w:t>
      </w:r>
      <w:r w:rsidRPr="00C564F2">
        <w:rPr>
          <w:bCs/>
          <w:lang w:val="id-ID"/>
        </w:rPr>
        <w:t>disburse</w:t>
      </w:r>
      <w:r w:rsidRPr="00C564F2">
        <w:rPr>
          <w:bCs/>
        </w:rPr>
        <w:t xml:space="preserve"> financing so that the distribution of financing has an impact on increasing the NPF value. </w:t>
      </w:r>
      <w:r>
        <w:rPr>
          <w:bCs/>
        </w:rPr>
        <w:t>OER</w:t>
      </w:r>
      <w:r w:rsidRPr="00C564F2">
        <w:rPr>
          <w:bCs/>
        </w:rPr>
        <w:t xml:space="preserve"> has a negative and significant effect </w:t>
      </w:r>
      <w:r w:rsidRPr="00C564F2">
        <w:rPr>
          <w:bCs/>
          <w:lang w:val="id-ID"/>
        </w:rPr>
        <w:t>to</w:t>
      </w:r>
      <w:r w:rsidRPr="00C564F2">
        <w:rPr>
          <w:bCs/>
        </w:rPr>
        <w:t xml:space="preserve"> the data of all banks and small banks. In large banks, </w:t>
      </w:r>
      <w:r>
        <w:rPr>
          <w:bCs/>
        </w:rPr>
        <w:t>OER</w:t>
      </w:r>
      <w:r w:rsidRPr="00C564F2">
        <w:rPr>
          <w:bCs/>
        </w:rPr>
        <w:t xml:space="preserve"> has a positive but not significant effect.</w:t>
      </w:r>
    </w:p>
    <w:p w14:paraId="796026CA" w14:textId="77777777" w:rsidR="00AE0010" w:rsidRPr="00C564F2" w:rsidRDefault="00AE0010" w:rsidP="00AE0010">
      <w:pPr>
        <w:ind w:firstLine="450"/>
        <w:jc w:val="both"/>
        <w:rPr>
          <w:lang w:val="id-ID"/>
        </w:rPr>
      </w:pPr>
      <w:r w:rsidRPr="00C564F2">
        <w:rPr>
          <w:lang w:val="en-ID"/>
        </w:rPr>
        <w:t xml:space="preserve">GRDP shows consistent results and has a significant negative effect on large and small banks. GRDP has a significant impact on the reduction of NPF in Islamic banks. The impact of GRDP in reducing the level of NPF does not differentiate between </w:t>
      </w:r>
      <w:r w:rsidRPr="00C564F2">
        <w:rPr>
          <w:lang w:val="id-ID"/>
        </w:rPr>
        <w:t xml:space="preserve">the </w:t>
      </w:r>
      <w:r w:rsidRPr="00C564F2">
        <w:rPr>
          <w:lang w:val="en-ID"/>
        </w:rPr>
        <w:t xml:space="preserve">large and </w:t>
      </w:r>
      <w:r w:rsidRPr="00C564F2">
        <w:rPr>
          <w:lang w:val="id-ID"/>
        </w:rPr>
        <w:t xml:space="preserve">the </w:t>
      </w:r>
      <w:r w:rsidRPr="00C564F2">
        <w:rPr>
          <w:lang w:val="en-ID"/>
        </w:rPr>
        <w:t>small banks.</w:t>
      </w:r>
    </w:p>
    <w:p w14:paraId="78BD1934" w14:textId="77777777" w:rsidR="00AE0010" w:rsidRPr="00C564F2" w:rsidRDefault="00AE0010" w:rsidP="00AE0010">
      <w:pPr>
        <w:ind w:firstLine="450"/>
        <w:jc w:val="both"/>
        <w:rPr>
          <w:lang w:val="id-ID"/>
        </w:rPr>
      </w:pPr>
    </w:p>
    <w:p w14:paraId="097CC99E" w14:textId="77777777" w:rsidR="00AE0010" w:rsidRPr="00C564F2" w:rsidRDefault="00AE0010" w:rsidP="00AE0010">
      <w:pPr>
        <w:jc w:val="center"/>
        <w:rPr>
          <w:b/>
          <w:lang w:val="en-ID"/>
        </w:rPr>
      </w:pPr>
      <w:proofErr w:type="spellStart"/>
      <w:r w:rsidRPr="00C564F2">
        <w:rPr>
          <w:b/>
          <w:lang w:val="en-ID"/>
        </w:rPr>
        <w:t>Tabel</w:t>
      </w:r>
      <w:proofErr w:type="spellEnd"/>
      <w:r w:rsidRPr="00C564F2">
        <w:rPr>
          <w:b/>
          <w:lang w:val="en-ID"/>
        </w:rPr>
        <w:t xml:space="preserve"> 5. Static Panel Regression</w:t>
      </w:r>
    </w:p>
    <w:tbl>
      <w:tblPr>
        <w:tblW w:w="0" w:type="auto"/>
        <w:tblBorders>
          <w:top w:val="single" w:sz="4" w:space="0" w:color="7F7F7F"/>
          <w:bottom w:val="single" w:sz="4" w:space="0" w:color="7F7F7F"/>
        </w:tblBorders>
        <w:tblLook w:val="04A0" w:firstRow="1" w:lastRow="0" w:firstColumn="1" w:lastColumn="0" w:noHBand="0" w:noVBand="1"/>
      </w:tblPr>
      <w:tblGrid>
        <w:gridCol w:w="2358"/>
        <w:gridCol w:w="2790"/>
        <w:gridCol w:w="2520"/>
      </w:tblGrid>
      <w:tr w:rsidR="00AE0010" w:rsidRPr="00C564F2" w14:paraId="2B40D7CC" w14:textId="77777777" w:rsidTr="00E122A5">
        <w:tc>
          <w:tcPr>
            <w:tcW w:w="2358" w:type="dxa"/>
            <w:tcBorders>
              <w:bottom w:val="single" w:sz="4" w:space="0" w:color="7F7F7F"/>
            </w:tcBorders>
            <w:shd w:val="clear" w:color="auto" w:fill="auto"/>
          </w:tcPr>
          <w:p w14:paraId="134F7144" w14:textId="77777777" w:rsidR="00AE0010" w:rsidRPr="00C564F2" w:rsidRDefault="00AE0010" w:rsidP="00E122A5">
            <w:pPr>
              <w:jc w:val="center"/>
              <w:rPr>
                <w:b/>
                <w:bCs/>
                <w:lang w:val="en-ID"/>
              </w:rPr>
            </w:pPr>
            <w:r w:rsidRPr="00C564F2">
              <w:rPr>
                <w:b/>
                <w:bCs/>
                <w:lang w:val="en-ID"/>
              </w:rPr>
              <w:t>Variable</w:t>
            </w:r>
          </w:p>
        </w:tc>
        <w:tc>
          <w:tcPr>
            <w:tcW w:w="2790" w:type="dxa"/>
            <w:tcBorders>
              <w:bottom w:val="single" w:sz="4" w:space="0" w:color="7F7F7F"/>
            </w:tcBorders>
            <w:shd w:val="clear" w:color="auto" w:fill="auto"/>
          </w:tcPr>
          <w:p w14:paraId="69B90063" w14:textId="77777777" w:rsidR="00AE0010" w:rsidRPr="00C564F2" w:rsidRDefault="00AE0010" w:rsidP="00E122A5">
            <w:pPr>
              <w:jc w:val="center"/>
              <w:rPr>
                <w:b/>
                <w:bCs/>
                <w:lang w:val="en-ID"/>
              </w:rPr>
            </w:pPr>
            <w:r w:rsidRPr="00C564F2">
              <w:rPr>
                <w:b/>
                <w:bCs/>
                <w:lang w:val="en-ID"/>
              </w:rPr>
              <w:t>Java: FE</w:t>
            </w:r>
          </w:p>
        </w:tc>
        <w:tc>
          <w:tcPr>
            <w:tcW w:w="2520" w:type="dxa"/>
            <w:tcBorders>
              <w:bottom w:val="single" w:sz="4" w:space="0" w:color="7F7F7F"/>
            </w:tcBorders>
            <w:shd w:val="clear" w:color="auto" w:fill="auto"/>
          </w:tcPr>
          <w:p w14:paraId="7950C920" w14:textId="77777777" w:rsidR="00AE0010" w:rsidRPr="00C564F2" w:rsidRDefault="00AE0010" w:rsidP="00E122A5">
            <w:pPr>
              <w:ind w:left="645" w:hanging="645"/>
              <w:jc w:val="center"/>
              <w:rPr>
                <w:b/>
                <w:bCs/>
                <w:lang w:val="en-ID"/>
              </w:rPr>
            </w:pPr>
            <w:r w:rsidRPr="00C564F2">
              <w:rPr>
                <w:b/>
                <w:bCs/>
                <w:lang w:val="en-ID"/>
              </w:rPr>
              <w:t>Outside Java: RE</w:t>
            </w:r>
          </w:p>
        </w:tc>
      </w:tr>
      <w:tr w:rsidR="00AE0010" w:rsidRPr="00C564F2" w14:paraId="513814D5" w14:textId="77777777" w:rsidTr="00E122A5">
        <w:tc>
          <w:tcPr>
            <w:tcW w:w="2358" w:type="dxa"/>
            <w:tcBorders>
              <w:top w:val="single" w:sz="4" w:space="0" w:color="7F7F7F"/>
              <w:bottom w:val="single" w:sz="4" w:space="0" w:color="7F7F7F"/>
            </w:tcBorders>
            <w:shd w:val="clear" w:color="auto" w:fill="auto"/>
          </w:tcPr>
          <w:p w14:paraId="71A37AA8" w14:textId="77777777" w:rsidR="00AE0010" w:rsidRPr="00C564F2" w:rsidRDefault="00AE0010" w:rsidP="00E122A5">
            <w:pPr>
              <w:rPr>
                <w:bCs/>
                <w:lang w:val="en-ID"/>
              </w:rPr>
            </w:pPr>
            <w:r w:rsidRPr="00C564F2">
              <w:rPr>
                <w:b/>
                <w:bCs/>
                <w:lang w:val="en-ID"/>
              </w:rPr>
              <w:t>Constant</w:t>
            </w:r>
          </w:p>
        </w:tc>
        <w:tc>
          <w:tcPr>
            <w:tcW w:w="2790" w:type="dxa"/>
            <w:tcBorders>
              <w:top w:val="single" w:sz="4" w:space="0" w:color="7F7F7F"/>
              <w:bottom w:val="single" w:sz="4" w:space="0" w:color="7F7F7F"/>
            </w:tcBorders>
            <w:shd w:val="clear" w:color="auto" w:fill="auto"/>
          </w:tcPr>
          <w:p w14:paraId="27A57F29" w14:textId="77777777" w:rsidR="00AE0010" w:rsidRPr="00C564F2" w:rsidRDefault="00AE0010" w:rsidP="00E122A5">
            <w:pPr>
              <w:jc w:val="center"/>
              <w:rPr>
                <w:bCs/>
                <w:lang w:val="en-ID"/>
              </w:rPr>
            </w:pPr>
            <w:r w:rsidRPr="00C564F2">
              <w:rPr>
                <w:bCs/>
                <w:lang w:val="en-ID"/>
              </w:rPr>
              <w:t>3.474</w:t>
            </w:r>
          </w:p>
        </w:tc>
        <w:tc>
          <w:tcPr>
            <w:tcW w:w="2520" w:type="dxa"/>
            <w:tcBorders>
              <w:top w:val="single" w:sz="4" w:space="0" w:color="7F7F7F"/>
              <w:bottom w:val="single" w:sz="4" w:space="0" w:color="7F7F7F"/>
            </w:tcBorders>
            <w:shd w:val="clear" w:color="auto" w:fill="auto"/>
          </w:tcPr>
          <w:p w14:paraId="130C12C0" w14:textId="77777777" w:rsidR="00AE0010" w:rsidRPr="00C564F2" w:rsidRDefault="00AE0010" w:rsidP="00E122A5">
            <w:pPr>
              <w:jc w:val="center"/>
              <w:rPr>
                <w:bCs/>
                <w:lang w:val="en-ID"/>
              </w:rPr>
            </w:pPr>
            <w:r w:rsidRPr="00C564F2">
              <w:rPr>
                <w:bCs/>
                <w:lang w:val="en-ID"/>
              </w:rPr>
              <w:t>2.780</w:t>
            </w:r>
          </w:p>
        </w:tc>
      </w:tr>
      <w:tr w:rsidR="00AE0010" w:rsidRPr="00C564F2" w14:paraId="0240FAC4" w14:textId="77777777" w:rsidTr="00E122A5">
        <w:tc>
          <w:tcPr>
            <w:tcW w:w="2358" w:type="dxa"/>
            <w:shd w:val="clear" w:color="auto" w:fill="auto"/>
          </w:tcPr>
          <w:p w14:paraId="6F841B59" w14:textId="77777777" w:rsidR="00AE0010" w:rsidRPr="00C564F2" w:rsidRDefault="00AE0010" w:rsidP="00E122A5">
            <w:pPr>
              <w:rPr>
                <w:b/>
                <w:bCs/>
                <w:lang w:val="en-ID"/>
              </w:rPr>
            </w:pPr>
          </w:p>
        </w:tc>
        <w:tc>
          <w:tcPr>
            <w:tcW w:w="2790" w:type="dxa"/>
            <w:shd w:val="clear" w:color="auto" w:fill="auto"/>
          </w:tcPr>
          <w:p w14:paraId="3A1A1BB8" w14:textId="77777777" w:rsidR="00AE0010" w:rsidRPr="00C564F2" w:rsidRDefault="00AE0010" w:rsidP="00E122A5">
            <w:pPr>
              <w:jc w:val="center"/>
              <w:rPr>
                <w:bCs/>
                <w:lang w:val="en-ID"/>
              </w:rPr>
            </w:pPr>
            <w:r w:rsidRPr="00C564F2">
              <w:rPr>
                <w:bCs/>
                <w:lang w:val="en-ID"/>
              </w:rPr>
              <w:t>(0.000)</w:t>
            </w:r>
          </w:p>
        </w:tc>
        <w:tc>
          <w:tcPr>
            <w:tcW w:w="2520" w:type="dxa"/>
            <w:shd w:val="clear" w:color="auto" w:fill="auto"/>
          </w:tcPr>
          <w:p w14:paraId="16A63B63" w14:textId="77777777" w:rsidR="00AE0010" w:rsidRPr="00C564F2" w:rsidRDefault="00AE0010" w:rsidP="00E122A5">
            <w:pPr>
              <w:jc w:val="center"/>
              <w:rPr>
                <w:bCs/>
                <w:lang w:val="en-ID"/>
              </w:rPr>
            </w:pPr>
            <w:r w:rsidRPr="00C564F2">
              <w:rPr>
                <w:bCs/>
                <w:lang w:val="en-ID"/>
              </w:rPr>
              <w:t>(0.006)</w:t>
            </w:r>
          </w:p>
        </w:tc>
      </w:tr>
      <w:tr w:rsidR="00AE0010" w:rsidRPr="00C564F2" w14:paraId="4AE126D6" w14:textId="77777777" w:rsidTr="00E122A5">
        <w:tc>
          <w:tcPr>
            <w:tcW w:w="2358" w:type="dxa"/>
            <w:tcBorders>
              <w:top w:val="single" w:sz="4" w:space="0" w:color="7F7F7F"/>
              <w:bottom w:val="single" w:sz="4" w:space="0" w:color="7F7F7F"/>
            </w:tcBorders>
            <w:shd w:val="clear" w:color="auto" w:fill="auto"/>
          </w:tcPr>
          <w:p w14:paraId="11E0F4B7" w14:textId="77777777" w:rsidR="00AE0010" w:rsidRPr="00C564F2" w:rsidRDefault="00AE0010" w:rsidP="00E122A5">
            <w:pPr>
              <w:rPr>
                <w:b/>
                <w:bCs/>
                <w:lang w:val="en-ID"/>
              </w:rPr>
            </w:pPr>
            <w:proofErr w:type="spellStart"/>
            <w:r w:rsidRPr="00C564F2">
              <w:rPr>
                <w:b/>
                <w:bCs/>
                <w:lang w:val="en-ID"/>
              </w:rPr>
              <w:t>Ln_Size</w:t>
            </w:r>
            <w:proofErr w:type="spellEnd"/>
          </w:p>
        </w:tc>
        <w:tc>
          <w:tcPr>
            <w:tcW w:w="2790" w:type="dxa"/>
            <w:tcBorders>
              <w:top w:val="single" w:sz="4" w:space="0" w:color="7F7F7F"/>
              <w:bottom w:val="single" w:sz="4" w:space="0" w:color="7F7F7F"/>
            </w:tcBorders>
            <w:shd w:val="clear" w:color="auto" w:fill="auto"/>
          </w:tcPr>
          <w:p w14:paraId="7E18DD35" w14:textId="77777777" w:rsidR="00AE0010" w:rsidRPr="00C564F2" w:rsidRDefault="00AE0010" w:rsidP="00E122A5">
            <w:pPr>
              <w:jc w:val="center"/>
              <w:rPr>
                <w:bCs/>
                <w:lang w:val="en-ID"/>
              </w:rPr>
            </w:pPr>
            <w:r w:rsidRPr="00C564F2">
              <w:rPr>
                <w:bCs/>
                <w:lang w:val="en-ID"/>
              </w:rPr>
              <w:t>-4.484</w:t>
            </w:r>
          </w:p>
        </w:tc>
        <w:tc>
          <w:tcPr>
            <w:tcW w:w="2520" w:type="dxa"/>
            <w:tcBorders>
              <w:top w:val="single" w:sz="4" w:space="0" w:color="7F7F7F"/>
              <w:bottom w:val="single" w:sz="4" w:space="0" w:color="7F7F7F"/>
            </w:tcBorders>
            <w:shd w:val="clear" w:color="auto" w:fill="auto"/>
          </w:tcPr>
          <w:p w14:paraId="1AEB2B19" w14:textId="77777777" w:rsidR="00AE0010" w:rsidRPr="00C564F2" w:rsidRDefault="00AE0010" w:rsidP="00E122A5">
            <w:pPr>
              <w:jc w:val="center"/>
              <w:rPr>
                <w:bCs/>
                <w:lang w:val="en-ID"/>
              </w:rPr>
            </w:pPr>
            <w:r w:rsidRPr="00C564F2">
              <w:rPr>
                <w:bCs/>
                <w:lang w:val="en-ID"/>
              </w:rPr>
              <w:t>-2.333</w:t>
            </w:r>
          </w:p>
        </w:tc>
      </w:tr>
      <w:tr w:rsidR="00AE0010" w:rsidRPr="00C564F2" w14:paraId="0BF31A3E" w14:textId="77777777" w:rsidTr="00E122A5">
        <w:tc>
          <w:tcPr>
            <w:tcW w:w="2358" w:type="dxa"/>
            <w:shd w:val="clear" w:color="auto" w:fill="auto"/>
          </w:tcPr>
          <w:p w14:paraId="3A9BC7E5" w14:textId="77777777" w:rsidR="00AE0010" w:rsidRPr="00C564F2" w:rsidRDefault="00AE0010" w:rsidP="00E122A5">
            <w:pPr>
              <w:rPr>
                <w:b/>
                <w:bCs/>
                <w:lang w:val="en-ID"/>
              </w:rPr>
            </w:pPr>
          </w:p>
        </w:tc>
        <w:tc>
          <w:tcPr>
            <w:tcW w:w="2790" w:type="dxa"/>
            <w:shd w:val="clear" w:color="auto" w:fill="auto"/>
          </w:tcPr>
          <w:p w14:paraId="0550621A" w14:textId="77777777" w:rsidR="00AE0010" w:rsidRPr="00C564F2" w:rsidRDefault="00AE0010" w:rsidP="00E122A5">
            <w:pPr>
              <w:jc w:val="center"/>
              <w:rPr>
                <w:bCs/>
                <w:lang w:val="en-ID"/>
              </w:rPr>
            </w:pPr>
            <w:r w:rsidRPr="00C564F2">
              <w:rPr>
                <w:bCs/>
                <w:lang w:val="en-ID"/>
              </w:rPr>
              <w:t>(</w:t>
            </w:r>
            <w:proofErr w:type="gramStart"/>
            <w:r w:rsidRPr="00C564F2">
              <w:rPr>
                <w:bCs/>
                <w:lang w:val="en-ID"/>
              </w:rPr>
              <w:t>0.000)*</w:t>
            </w:r>
            <w:proofErr w:type="gramEnd"/>
          </w:p>
        </w:tc>
        <w:tc>
          <w:tcPr>
            <w:tcW w:w="2520" w:type="dxa"/>
            <w:shd w:val="clear" w:color="auto" w:fill="auto"/>
          </w:tcPr>
          <w:p w14:paraId="77D044FA" w14:textId="77777777" w:rsidR="00AE0010" w:rsidRPr="00C564F2" w:rsidRDefault="00AE0010" w:rsidP="00E122A5">
            <w:pPr>
              <w:jc w:val="center"/>
              <w:rPr>
                <w:bCs/>
                <w:lang w:val="en-ID"/>
              </w:rPr>
            </w:pPr>
            <w:r w:rsidRPr="00C564F2">
              <w:rPr>
                <w:bCs/>
                <w:lang w:val="en-ID"/>
              </w:rPr>
              <w:t>(</w:t>
            </w:r>
            <w:proofErr w:type="gramStart"/>
            <w:r w:rsidRPr="00C564F2">
              <w:rPr>
                <w:bCs/>
                <w:lang w:val="en-ID"/>
              </w:rPr>
              <w:t>0.020)*</w:t>
            </w:r>
            <w:proofErr w:type="gramEnd"/>
          </w:p>
        </w:tc>
      </w:tr>
      <w:tr w:rsidR="00AE0010" w:rsidRPr="00C564F2" w14:paraId="6279B638" w14:textId="77777777" w:rsidTr="00E122A5">
        <w:tc>
          <w:tcPr>
            <w:tcW w:w="2358" w:type="dxa"/>
            <w:tcBorders>
              <w:top w:val="single" w:sz="4" w:space="0" w:color="7F7F7F"/>
              <w:bottom w:val="single" w:sz="4" w:space="0" w:color="7F7F7F"/>
            </w:tcBorders>
            <w:shd w:val="clear" w:color="auto" w:fill="auto"/>
          </w:tcPr>
          <w:p w14:paraId="084273E6" w14:textId="77777777" w:rsidR="00AE0010" w:rsidRPr="00C564F2" w:rsidRDefault="00AE0010" w:rsidP="00E122A5">
            <w:pPr>
              <w:rPr>
                <w:b/>
                <w:bCs/>
                <w:lang w:val="en-ID"/>
              </w:rPr>
            </w:pPr>
            <w:r w:rsidRPr="00C564F2">
              <w:rPr>
                <w:b/>
                <w:bCs/>
                <w:lang w:val="en-ID"/>
              </w:rPr>
              <w:t>FDR</w:t>
            </w:r>
          </w:p>
        </w:tc>
        <w:tc>
          <w:tcPr>
            <w:tcW w:w="2790" w:type="dxa"/>
            <w:tcBorders>
              <w:top w:val="single" w:sz="4" w:space="0" w:color="7F7F7F"/>
              <w:bottom w:val="single" w:sz="4" w:space="0" w:color="7F7F7F"/>
            </w:tcBorders>
            <w:shd w:val="clear" w:color="auto" w:fill="auto"/>
          </w:tcPr>
          <w:p w14:paraId="7864FAF2" w14:textId="77777777" w:rsidR="00AE0010" w:rsidRPr="00C564F2" w:rsidRDefault="00AE0010" w:rsidP="00E122A5">
            <w:pPr>
              <w:jc w:val="center"/>
              <w:rPr>
                <w:bCs/>
                <w:lang w:val="en-ID"/>
              </w:rPr>
            </w:pPr>
            <w:r w:rsidRPr="00C564F2">
              <w:rPr>
                <w:bCs/>
                <w:lang w:val="en-ID"/>
              </w:rPr>
              <w:t>-2.938</w:t>
            </w:r>
          </w:p>
        </w:tc>
        <w:tc>
          <w:tcPr>
            <w:tcW w:w="2520" w:type="dxa"/>
            <w:tcBorders>
              <w:top w:val="single" w:sz="4" w:space="0" w:color="7F7F7F"/>
              <w:bottom w:val="single" w:sz="4" w:space="0" w:color="7F7F7F"/>
            </w:tcBorders>
            <w:shd w:val="clear" w:color="auto" w:fill="auto"/>
          </w:tcPr>
          <w:p w14:paraId="54FBFF30" w14:textId="77777777" w:rsidR="00AE0010" w:rsidRPr="00C564F2" w:rsidRDefault="00AE0010" w:rsidP="00E122A5">
            <w:pPr>
              <w:jc w:val="center"/>
              <w:rPr>
                <w:bCs/>
                <w:lang w:val="en-ID"/>
              </w:rPr>
            </w:pPr>
            <w:r w:rsidRPr="00C564F2">
              <w:rPr>
                <w:bCs/>
                <w:lang w:val="en-ID"/>
              </w:rPr>
              <w:t>1.193</w:t>
            </w:r>
          </w:p>
        </w:tc>
      </w:tr>
      <w:tr w:rsidR="00AE0010" w:rsidRPr="00C564F2" w14:paraId="4DC634A5" w14:textId="77777777" w:rsidTr="00E122A5">
        <w:tc>
          <w:tcPr>
            <w:tcW w:w="2358" w:type="dxa"/>
            <w:shd w:val="clear" w:color="auto" w:fill="auto"/>
          </w:tcPr>
          <w:p w14:paraId="72505DC1" w14:textId="77777777" w:rsidR="00AE0010" w:rsidRPr="00C564F2" w:rsidRDefault="00AE0010" w:rsidP="00E122A5">
            <w:pPr>
              <w:rPr>
                <w:b/>
                <w:bCs/>
                <w:lang w:val="en-ID"/>
              </w:rPr>
            </w:pPr>
          </w:p>
        </w:tc>
        <w:tc>
          <w:tcPr>
            <w:tcW w:w="2790" w:type="dxa"/>
            <w:shd w:val="clear" w:color="auto" w:fill="auto"/>
          </w:tcPr>
          <w:p w14:paraId="1029A609" w14:textId="77777777" w:rsidR="00AE0010" w:rsidRPr="00C564F2" w:rsidRDefault="00AE0010" w:rsidP="00E122A5">
            <w:pPr>
              <w:jc w:val="center"/>
              <w:rPr>
                <w:bCs/>
                <w:lang w:val="en-ID"/>
              </w:rPr>
            </w:pPr>
            <w:r w:rsidRPr="00C564F2">
              <w:rPr>
                <w:bCs/>
                <w:lang w:val="en-ID"/>
              </w:rPr>
              <w:t>(</w:t>
            </w:r>
            <w:proofErr w:type="gramStart"/>
            <w:r w:rsidRPr="00C564F2">
              <w:rPr>
                <w:bCs/>
                <w:lang w:val="en-ID"/>
              </w:rPr>
              <w:t>0.003)*</w:t>
            </w:r>
            <w:proofErr w:type="gramEnd"/>
          </w:p>
        </w:tc>
        <w:tc>
          <w:tcPr>
            <w:tcW w:w="2520" w:type="dxa"/>
            <w:shd w:val="clear" w:color="auto" w:fill="auto"/>
          </w:tcPr>
          <w:p w14:paraId="28D3508F" w14:textId="77777777" w:rsidR="00AE0010" w:rsidRPr="00C564F2" w:rsidRDefault="00AE0010" w:rsidP="00E122A5">
            <w:pPr>
              <w:jc w:val="center"/>
              <w:rPr>
                <w:bCs/>
                <w:lang w:val="en-ID"/>
              </w:rPr>
            </w:pPr>
            <w:r w:rsidRPr="00C564F2">
              <w:rPr>
                <w:bCs/>
                <w:lang w:val="en-ID"/>
              </w:rPr>
              <w:t>(0.234)</w:t>
            </w:r>
          </w:p>
        </w:tc>
      </w:tr>
      <w:tr w:rsidR="00AE0010" w:rsidRPr="00C564F2" w14:paraId="1629B08E" w14:textId="77777777" w:rsidTr="00E122A5">
        <w:tc>
          <w:tcPr>
            <w:tcW w:w="2358" w:type="dxa"/>
            <w:tcBorders>
              <w:top w:val="single" w:sz="4" w:space="0" w:color="7F7F7F"/>
              <w:bottom w:val="single" w:sz="4" w:space="0" w:color="7F7F7F"/>
            </w:tcBorders>
            <w:shd w:val="clear" w:color="auto" w:fill="auto"/>
          </w:tcPr>
          <w:p w14:paraId="47DE8EB5" w14:textId="77777777" w:rsidR="00AE0010" w:rsidRPr="00C564F2" w:rsidRDefault="00AE0010" w:rsidP="00E122A5">
            <w:pPr>
              <w:rPr>
                <w:b/>
                <w:bCs/>
                <w:lang w:val="en-ID"/>
              </w:rPr>
            </w:pPr>
            <w:r>
              <w:rPr>
                <w:b/>
                <w:bCs/>
                <w:lang w:val="en-ID"/>
              </w:rPr>
              <w:t>OER</w:t>
            </w:r>
          </w:p>
        </w:tc>
        <w:tc>
          <w:tcPr>
            <w:tcW w:w="2790" w:type="dxa"/>
            <w:tcBorders>
              <w:top w:val="single" w:sz="4" w:space="0" w:color="7F7F7F"/>
              <w:bottom w:val="single" w:sz="4" w:space="0" w:color="7F7F7F"/>
            </w:tcBorders>
            <w:shd w:val="clear" w:color="auto" w:fill="auto"/>
          </w:tcPr>
          <w:p w14:paraId="40159DC1" w14:textId="77777777" w:rsidR="00AE0010" w:rsidRPr="00C564F2" w:rsidRDefault="00AE0010" w:rsidP="00E122A5">
            <w:pPr>
              <w:jc w:val="center"/>
              <w:rPr>
                <w:bCs/>
                <w:lang w:val="en-ID"/>
              </w:rPr>
            </w:pPr>
            <w:r w:rsidRPr="00C564F2">
              <w:rPr>
                <w:bCs/>
                <w:lang w:val="en-ID"/>
              </w:rPr>
              <w:t>-2.584</w:t>
            </w:r>
          </w:p>
        </w:tc>
        <w:tc>
          <w:tcPr>
            <w:tcW w:w="2520" w:type="dxa"/>
            <w:tcBorders>
              <w:top w:val="single" w:sz="4" w:space="0" w:color="7F7F7F"/>
              <w:bottom w:val="single" w:sz="4" w:space="0" w:color="7F7F7F"/>
            </w:tcBorders>
            <w:shd w:val="clear" w:color="auto" w:fill="auto"/>
          </w:tcPr>
          <w:p w14:paraId="1851D373" w14:textId="77777777" w:rsidR="00AE0010" w:rsidRPr="00C564F2" w:rsidRDefault="00AE0010" w:rsidP="00E122A5">
            <w:pPr>
              <w:jc w:val="center"/>
              <w:rPr>
                <w:bCs/>
                <w:lang w:val="en-ID"/>
              </w:rPr>
            </w:pPr>
            <w:r w:rsidRPr="00C564F2">
              <w:rPr>
                <w:bCs/>
                <w:lang w:val="en-ID"/>
              </w:rPr>
              <w:t>1.136</w:t>
            </w:r>
          </w:p>
        </w:tc>
      </w:tr>
      <w:tr w:rsidR="00AE0010" w:rsidRPr="00C564F2" w14:paraId="0AE36B4A" w14:textId="77777777" w:rsidTr="00E122A5">
        <w:tc>
          <w:tcPr>
            <w:tcW w:w="2358" w:type="dxa"/>
            <w:shd w:val="clear" w:color="auto" w:fill="auto"/>
          </w:tcPr>
          <w:p w14:paraId="5866FFE4" w14:textId="77777777" w:rsidR="00AE0010" w:rsidRPr="00C564F2" w:rsidRDefault="00AE0010" w:rsidP="00E122A5">
            <w:pPr>
              <w:rPr>
                <w:b/>
                <w:bCs/>
                <w:lang w:val="en-ID"/>
              </w:rPr>
            </w:pPr>
          </w:p>
        </w:tc>
        <w:tc>
          <w:tcPr>
            <w:tcW w:w="2790" w:type="dxa"/>
            <w:shd w:val="clear" w:color="auto" w:fill="auto"/>
          </w:tcPr>
          <w:p w14:paraId="0273B289" w14:textId="77777777" w:rsidR="00AE0010" w:rsidRPr="00C564F2" w:rsidRDefault="00AE0010" w:rsidP="00E122A5">
            <w:pPr>
              <w:jc w:val="center"/>
              <w:rPr>
                <w:bCs/>
                <w:lang w:val="en-ID"/>
              </w:rPr>
            </w:pPr>
            <w:r w:rsidRPr="00C564F2">
              <w:rPr>
                <w:bCs/>
                <w:lang w:val="en-ID"/>
              </w:rPr>
              <w:t>(</w:t>
            </w:r>
            <w:proofErr w:type="gramStart"/>
            <w:r w:rsidRPr="00C564F2">
              <w:rPr>
                <w:bCs/>
                <w:lang w:val="en-ID"/>
              </w:rPr>
              <w:t>0.010)*</w:t>
            </w:r>
            <w:proofErr w:type="gramEnd"/>
          </w:p>
        </w:tc>
        <w:tc>
          <w:tcPr>
            <w:tcW w:w="2520" w:type="dxa"/>
            <w:shd w:val="clear" w:color="auto" w:fill="auto"/>
          </w:tcPr>
          <w:p w14:paraId="2B94EA0B" w14:textId="77777777" w:rsidR="00AE0010" w:rsidRPr="00C564F2" w:rsidRDefault="00AE0010" w:rsidP="00E122A5">
            <w:pPr>
              <w:jc w:val="center"/>
              <w:rPr>
                <w:bCs/>
                <w:lang w:val="en-ID"/>
              </w:rPr>
            </w:pPr>
            <w:r w:rsidRPr="00C564F2">
              <w:rPr>
                <w:bCs/>
                <w:lang w:val="en-ID"/>
              </w:rPr>
              <w:t>(0.257)</w:t>
            </w:r>
          </w:p>
        </w:tc>
      </w:tr>
      <w:tr w:rsidR="00AE0010" w:rsidRPr="00C564F2" w14:paraId="6C755C97" w14:textId="77777777" w:rsidTr="00E122A5">
        <w:tc>
          <w:tcPr>
            <w:tcW w:w="2358" w:type="dxa"/>
            <w:tcBorders>
              <w:top w:val="single" w:sz="4" w:space="0" w:color="7F7F7F"/>
              <w:bottom w:val="single" w:sz="4" w:space="0" w:color="7F7F7F"/>
            </w:tcBorders>
            <w:shd w:val="clear" w:color="auto" w:fill="auto"/>
          </w:tcPr>
          <w:p w14:paraId="51979E58" w14:textId="77777777" w:rsidR="00AE0010" w:rsidRPr="00C564F2" w:rsidRDefault="00AE0010" w:rsidP="00E122A5">
            <w:pPr>
              <w:rPr>
                <w:b/>
                <w:bCs/>
                <w:lang w:val="en-ID"/>
              </w:rPr>
            </w:pPr>
            <w:proofErr w:type="spellStart"/>
            <w:r w:rsidRPr="00C564F2">
              <w:rPr>
                <w:b/>
                <w:bCs/>
                <w:lang w:val="en-ID"/>
              </w:rPr>
              <w:t>Ln_</w:t>
            </w:r>
            <w:r>
              <w:rPr>
                <w:b/>
                <w:bCs/>
                <w:lang w:val="en-ID"/>
              </w:rPr>
              <w:t>GRDP</w:t>
            </w:r>
            <w:proofErr w:type="spellEnd"/>
          </w:p>
        </w:tc>
        <w:tc>
          <w:tcPr>
            <w:tcW w:w="2790" w:type="dxa"/>
            <w:tcBorders>
              <w:top w:val="single" w:sz="4" w:space="0" w:color="7F7F7F"/>
              <w:bottom w:val="single" w:sz="4" w:space="0" w:color="7F7F7F"/>
            </w:tcBorders>
            <w:shd w:val="clear" w:color="auto" w:fill="auto"/>
          </w:tcPr>
          <w:p w14:paraId="40A2731B" w14:textId="77777777" w:rsidR="00AE0010" w:rsidRPr="00C564F2" w:rsidRDefault="00AE0010" w:rsidP="00E122A5">
            <w:pPr>
              <w:jc w:val="center"/>
              <w:rPr>
                <w:bCs/>
                <w:lang w:val="en-ID"/>
              </w:rPr>
            </w:pPr>
            <w:r w:rsidRPr="00C564F2">
              <w:rPr>
                <w:bCs/>
                <w:lang w:val="en-ID"/>
              </w:rPr>
              <w:t>-2.027</w:t>
            </w:r>
          </w:p>
        </w:tc>
        <w:tc>
          <w:tcPr>
            <w:tcW w:w="2520" w:type="dxa"/>
            <w:tcBorders>
              <w:top w:val="single" w:sz="4" w:space="0" w:color="7F7F7F"/>
              <w:bottom w:val="single" w:sz="4" w:space="0" w:color="7F7F7F"/>
            </w:tcBorders>
            <w:shd w:val="clear" w:color="auto" w:fill="auto"/>
          </w:tcPr>
          <w:p w14:paraId="3326A42F" w14:textId="77777777" w:rsidR="00AE0010" w:rsidRPr="00C564F2" w:rsidRDefault="00AE0010" w:rsidP="00E122A5">
            <w:pPr>
              <w:jc w:val="center"/>
              <w:rPr>
                <w:bCs/>
                <w:lang w:val="en-ID"/>
              </w:rPr>
            </w:pPr>
            <w:r w:rsidRPr="00C564F2">
              <w:rPr>
                <w:bCs/>
                <w:lang w:val="en-ID"/>
              </w:rPr>
              <w:t>-1.948</w:t>
            </w:r>
          </w:p>
        </w:tc>
      </w:tr>
      <w:tr w:rsidR="00AE0010" w:rsidRPr="00C564F2" w14:paraId="28A70A21" w14:textId="77777777" w:rsidTr="00E122A5">
        <w:tc>
          <w:tcPr>
            <w:tcW w:w="2358" w:type="dxa"/>
            <w:shd w:val="clear" w:color="auto" w:fill="auto"/>
          </w:tcPr>
          <w:p w14:paraId="6D6DEB90" w14:textId="77777777" w:rsidR="00AE0010" w:rsidRPr="00C564F2" w:rsidRDefault="00AE0010" w:rsidP="00E122A5">
            <w:pPr>
              <w:rPr>
                <w:b/>
                <w:bCs/>
                <w:lang w:val="en-ID"/>
              </w:rPr>
            </w:pPr>
          </w:p>
        </w:tc>
        <w:tc>
          <w:tcPr>
            <w:tcW w:w="2790" w:type="dxa"/>
            <w:shd w:val="clear" w:color="auto" w:fill="auto"/>
          </w:tcPr>
          <w:p w14:paraId="2CF2E3EE" w14:textId="77777777" w:rsidR="00AE0010" w:rsidRPr="00C564F2" w:rsidRDefault="00AE0010" w:rsidP="00E122A5">
            <w:pPr>
              <w:jc w:val="center"/>
              <w:rPr>
                <w:bCs/>
                <w:lang w:val="en-ID"/>
              </w:rPr>
            </w:pPr>
            <w:r w:rsidRPr="00C564F2">
              <w:rPr>
                <w:bCs/>
                <w:lang w:val="en-ID"/>
              </w:rPr>
              <w:t>(0.043)</w:t>
            </w:r>
          </w:p>
        </w:tc>
        <w:tc>
          <w:tcPr>
            <w:tcW w:w="2520" w:type="dxa"/>
            <w:shd w:val="clear" w:color="auto" w:fill="auto"/>
          </w:tcPr>
          <w:p w14:paraId="7D1EFB99" w14:textId="77777777" w:rsidR="00AE0010" w:rsidRPr="00C564F2" w:rsidRDefault="00AE0010" w:rsidP="00E122A5">
            <w:pPr>
              <w:jc w:val="center"/>
              <w:rPr>
                <w:bCs/>
                <w:lang w:val="en-ID"/>
              </w:rPr>
            </w:pPr>
            <w:r w:rsidRPr="00C564F2">
              <w:rPr>
                <w:bCs/>
                <w:lang w:val="en-ID"/>
              </w:rPr>
              <w:t>(</w:t>
            </w:r>
            <w:proofErr w:type="gramStart"/>
            <w:r w:rsidRPr="00C564F2">
              <w:rPr>
                <w:bCs/>
                <w:lang w:val="en-ID"/>
              </w:rPr>
              <w:t>0.053)*</w:t>
            </w:r>
            <w:proofErr w:type="gramEnd"/>
          </w:p>
        </w:tc>
      </w:tr>
      <w:tr w:rsidR="00AE0010" w:rsidRPr="00C564F2" w14:paraId="771ED351" w14:textId="77777777" w:rsidTr="00E122A5">
        <w:tc>
          <w:tcPr>
            <w:tcW w:w="2358" w:type="dxa"/>
            <w:tcBorders>
              <w:top w:val="single" w:sz="4" w:space="0" w:color="7F7F7F"/>
              <w:bottom w:val="single" w:sz="4" w:space="0" w:color="7F7F7F"/>
            </w:tcBorders>
            <w:shd w:val="clear" w:color="auto" w:fill="auto"/>
          </w:tcPr>
          <w:p w14:paraId="2B3C5D0C" w14:textId="77777777" w:rsidR="00AE0010" w:rsidRPr="00C564F2" w:rsidRDefault="00AE0010" w:rsidP="00E122A5">
            <w:pPr>
              <w:rPr>
                <w:b/>
                <w:bCs/>
                <w:lang w:val="en-ID"/>
              </w:rPr>
            </w:pPr>
            <w:r w:rsidRPr="00C564F2">
              <w:rPr>
                <w:b/>
                <w:bCs/>
                <w:lang w:val="en-ID"/>
              </w:rPr>
              <w:t>Chow-test (prob)</w:t>
            </w:r>
          </w:p>
        </w:tc>
        <w:tc>
          <w:tcPr>
            <w:tcW w:w="2790" w:type="dxa"/>
            <w:tcBorders>
              <w:top w:val="single" w:sz="4" w:space="0" w:color="7F7F7F"/>
              <w:bottom w:val="single" w:sz="4" w:space="0" w:color="7F7F7F"/>
            </w:tcBorders>
            <w:shd w:val="clear" w:color="auto" w:fill="auto"/>
          </w:tcPr>
          <w:p w14:paraId="45CA4CA8" w14:textId="77777777" w:rsidR="00AE0010" w:rsidRPr="00C564F2" w:rsidRDefault="00AE0010" w:rsidP="00E122A5">
            <w:pPr>
              <w:jc w:val="center"/>
              <w:rPr>
                <w:bCs/>
                <w:lang w:val="en-ID"/>
              </w:rPr>
            </w:pPr>
            <w:r w:rsidRPr="00C564F2">
              <w:rPr>
                <w:bCs/>
                <w:lang w:val="en-ID"/>
              </w:rPr>
              <w:t>0.000</w:t>
            </w:r>
          </w:p>
        </w:tc>
        <w:tc>
          <w:tcPr>
            <w:tcW w:w="2520" w:type="dxa"/>
            <w:tcBorders>
              <w:top w:val="single" w:sz="4" w:space="0" w:color="7F7F7F"/>
              <w:bottom w:val="single" w:sz="4" w:space="0" w:color="7F7F7F"/>
            </w:tcBorders>
            <w:shd w:val="clear" w:color="auto" w:fill="auto"/>
          </w:tcPr>
          <w:p w14:paraId="7CEBA4D1" w14:textId="77777777" w:rsidR="00AE0010" w:rsidRPr="00C564F2" w:rsidRDefault="00AE0010" w:rsidP="00E122A5">
            <w:pPr>
              <w:jc w:val="center"/>
              <w:rPr>
                <w:bCs/>
                <w:lang w:val="en-ID"/>
              </w:rPr>
            </w:pPr>
            <w:r w:rsidRPr="00C564F2">
              <w:rPr>
                <w:bCs/>
                <w:lang w:val="en-ID"/>
              </w:rPr>
              <w:t>0.000</w:t>
            </w:r>
          </w:p>
        </w:tc>
      </w:tr>
      <w:tr w:rsidR="00AE0010" w:rsidRPr="00C564F2" w14:paraId="2A5B96C9" w14:textId="77777777" w:rsidTr="00E122A5">
        <w:tc>
          <w:tcPr>
            <w:tcW w:w="2358" w:type="dxa"/>
            <w:tcBorders>
              <w:top w:val="single" w:sz="4" w:space="0" w:color="7F7F7F"/>
              <w:bottom w:val="single" w:sz="4" w:space="0" w:color="auto"/>
            </w:tcBorders>
            <w:shd w:val="clear" w:color="auto" w:fill="auto"/>
          </w:tcPr>
          <w:p w14:paraId="749DD21E" w14:textId="77777777" w:rsidR="00AE0010" w:rsidRPr="00C564F2" w:rsidRDefault="00AE0010" w:rsidP="00E122A5">
            <w:pPr>
              <w:rPr>
                <w:b/>
                <w:bCs/>
                <w:lang w:val="en-ID"/>
              </w:rPr>
            </w:pPr>
            <w:r w:rsidRPr="00C564F2">
              <w:rPr>
                <w:b/>
                <w:bCs/>
                <w:lang w:val="en-ID"/>
              </w:rPr>
              <w:t>Hausman-test (prob)</w:t>
            </w:r>
          </w:p>
        </w:tc>
        <w:tc>
          <w:tcPr>
            <w:tcW w:w="2790" w:type="dxa"/>
            <w:tcBorders>
              <w:top w:val="single" w:sz="4" w:space="0" w:color="7F7F7F"/>
              <w:bottom w:val="single" w:sz="4" w:space="0" w:color="auto"/>
            </w:tcBorders>
            <w:shd w:val="clear" w:color="auto" w:fill="auto"/>
          </w:tcPr>
          <w:p w14:paraId="6592C74D" w14:textId="77777777" w:rsidR="00AE0010" w:rsidRPr="00C564F2" w:rsidRDefault="00AE0010" w:rsidP="00E122A5">
            <w:pPr>
              <w:jc w:val="center"/>
              <w:rPr>
                <w:bCs/>
                <w:lang w:val="en-ID"/>
              </w:rPr>
            </w:pPr>
            <w:r w:rsidRPr="00C564F2">
              <w:rPr>
                <w:bCs/>
                <w:lang w:val="en-ID"/>
              </w:rPr>
              <w:t>0.000</w:t>
            </w:r>
          </w:p>
        </w:tc>
        <w:tc>
          <w:tcPr>
            <w:tcW w:w="2520" w:type="dxa"/>
            <w:tcBorders>
              <w:top w:val="single" w:sz="4" w:space="0" w:color="7F7F7F"/>
              <w:bottom w:val="single" w:sz="4" w:space="0" w:color="auto"/>
            </w:tcBorders>
            <w:shd w:val="clear" w:color="auto" w:fill="auto"/>
          </w:tcPr>
          <w:p w14:paraId="4AF4BF4C" w14:textId="77777777" w:rsidR="00AE0010" w:rsidRPr="00C564F2" w:rsidRDefault="00AE0010" w:rsidP="00E122A5">
            <w:pPr>
              <w:jc w:val="center"/>
              <w:rPr>
                <w:bCs/>
                <w:lang w:val="en-ID"/>
              </w:rPr>
            </w:pPr>
            <w:r w:rsidRPr="00C564F2">
              <w:rPr>
                <w:bCs/>
                <w:lang w:val="en-ID"/>
              </w:rPr>
              <w:t>0.073</w:t>
            </w:r>
          </w:p>
        </w:tc>
      </w:tr>
      <w:tr w:rsidR="00AE0010" w:rsidRPr="00C564F2" w14:paraId="208C1246" w14:textId="77777777" w:rsidTr="00E122A5">
        <w:tc>
          <w:tcPr>
            <w:tcW w:w="7668" w:type="dxa"/>
            <w:gridSpan w:val="3"/>
            <w:tcBorders>
              <w:top w:val="single" w:sz="4" w:space="0" w:color="auto"/>
              <w:bottom w:val="nil"/>
            </w:tcBorders>
            <w:shd w:val="clear" w:color="auto" w:fill="auto"/>
          </w:tcPr>
          <w:p w14:paraId="16B45E23" w14:textId="77777777" w:rsidR="00AE0010" w:rsidRPr="00C564F2" w:rsidRDefault="00AE0010" w:rsidP="00E122A5">
            <w:pPr>
              <w:rPr>
                <w:b/>
                <w:bCs/>
                <w:lang w:val="en-ID"/>
              </w:rPr>
            </w:pPr>
            <w:r w:rsidRPr="00C564F2">
              <w:rPr>
                <w:b/>
                <w:bCs/>
                <w:lang w:val="en-ID"/>
              </w:rPr>
              <w:t>Note: *</w:t>
            </w:r>
            <w:r w:rsidRPr="00C564F2">
              <w:rPr>
                <w:bCs/>
                <w:lang w:val="en-ID"/>
              </w:rPr>
              <w:t>are statistically significant at α</w:t>
            </w:r>
            <w:r w:rsidRPr="00C564F2">
              <w:rPr>
                <w:b/>
                <w:bCs/>
                <w:lang w:val="en-ID"/>
              </w:rPr>
              <w:t xml:space="preserve"> </w:t>
            </w:r>
            <w:r w:rsidRPr="00C564F2">
              <w:rPr>
                <w:bCs/>
                <w:lang w:val="en-ID"/>
              </w:rPr>
              <w:t>=</w:t>
            </w:r>
            <w:r w:rsidRPr="00C564F2">
              <w:rPr>
                <w:b/>
                <w:bCs/>
                <w:lang w:val="en-ID"/>
              </w:rPr>
              <w:t xml:space="preserve"> </w:t>
            </w:r>
            <w:r w:rsidRPr="00C564F2">
              <w:rPr>
                <w:bCs/>
                <w:lang w:val="en-ID"/>
              </w:rPr>
              <w:t>5%</w:t>
            </w:r>
          </w:p>
        </w:tc>
      </w:tr>
    </w:tbl>
    <w:p w14:paraId="38A5CBB1" w14:textId="77777777" w:rsidR="00AE0010" w:rsidRPr="00C564F2" w:rsidRDefault="00AE0010" w:rsidP="00AE0010">
      <w:pPr>
        <w:jc w:val="both"/>
        <w:rPr>
          <w:b/>
          <w:lang w:val="en-ID"/>
        </w:rPr>
      </w:pPr>
    </w:p>
    <w:p w14:paraId="4B840AFC" w14:textId="77777777" w:rsidR="00AE0010" w:rsidRPr="00C564F2" w:rsidRDefault="00AE0010" w:rsidP="00AE0010">
      <w:pPr>
        <w:ind w:firstLine="450"/>
        <w:jc w:val="both"/>
        <w:rPr>
          <w:bCs/>
          <w:lang w:val="en-ID"/>
        </w:rPr>
      </w:pPr>
      <w:r w:rsidRPr="00C564F2">
        <w:rPr>
          <w:bCs/>
          <w:lang w:val="en-ID"/>
        </w:rPr>
        <w:lastRenderedPageBreak/>
        <w:t xml:space="preserve">Indonesia is a unique country separated into </w:t>
      </w:r>
      <w:r w:rsidRPr="00C564F2">
        <w:rPr>
          <w:bCs/>
          <w:lang w:val="id-ID"/>
        </w:rPr>
        <w:t xml:space="preserve">small to large </w:t>
      </w:r>
      <w:r w:rsidRPr="00C564F2">
        <w:rPr>
          <w:bCs/>
          <w:lang w:val="en-ID"/>
        </w:rPr>
        <w:t>islands. There are ten largest islands in Indonesia consisting of Papua, Kalimantan, Sumatra, Sulawesi, Java, Timor, Halmahera, Seram, Sumbawa and Flores Island. Apart from the ten largest islands there are many other. The problem that occurs with the number of islands or regions in Indonesia is the problem of equitable distribution of economic development. Economic development is more concentrated on the island of Java compared to other islands. Therefore, this study separates the data between Java and outside Java.</w:t>
      </w:r>
    </w:p>
    <w:p w14:paraId="23A63C8A" w14:textId="77777777" w:rsidR="00AE0010" w:rsidRPr="00C564F2" w:rsidRDefault="00AE0010" w:rsidP="00AE0010">
      <w:pPr>
        <w:ind w:firstLine="450"/>
        <w:jc w:val="both"/>
        <w:rPr>
          <w:bCs/>
        </w:rPr>
      </w:pPr>
      <w:r w:rsidRPr="00C564F2">
        <w:rPr>
          <w:bCs/>
        </w:rPr>
        <w:t xml:space="preserve">Table 5. indicated that bank size has a negative and significant effect on NPF in Java and outside Java. FDR has a negative and significant effect on NPF in Java. As for outside Java, FDR has a positive but not significant effect on NPF. The effect of </w:t>
      </w:r>
      <w:r>
        <w:rPr>
          <w:bCs/>
        </w:rPr>
        <w:t>OER</w:t>
      </w:r>
      <w:r w:rsidRPr="00C564F2">
        <w:rPr>
          <w:bCs/>
        </w:rPr>
        <w:t xml:space="preserve"> on Java Island has a negative and significant effect. But it has a positive and insignificant effect on banks outside Java. GRDP </w:t>
      </w:r>
      <w:r w:rsidRPr="00C564F2">
        <w:rPr>
          <w:bCs/>
          <w:lang w:val="id-ID"/>
        </w:rPr>
        <w:t xml:space="preserve">specified the </w:t>
      </w:r>
      <w:r w:rsidRPr="00C564F2">
        <w:rPr>
          <w:bCs/>
        </w:rPr>
        <w:t>consistent results that there is a negative and significant influence of regional economic growth on NPF both in Java and outside Java.</w:t>
      </w:r>
    </w:p>
    <w:p w14:paraId="3B6D4F8D" w14:textId="77777777" w:rsidR="00AE0010" w:rsidRPr="00C564F2" w:rsidRDefault="00AE0010" w:rsidP="00AE0010">
      <w:pPr>
        <w:jc w:val="both"/>
        <w:rPr>
          <w:b/>
          <w:lang w:val="en-ID"/>
        </w:rPr>
      </w:pPr>
    </w:p>
    <w:p w14:paraId="6B91B0C2" w14:textId="77777777" w:rsidR="00AE0010" w:rsidRPr="00C564F2" w:rsidRDefault="00AE0010" w:rsidP="00AE0010">
      <w:pPr>
        <w:jc w:val="both"/>
        <w:rPr>
          <w:b/>
          <w:lang w:val="en-ID"/>
        </w:rPr>
      </w:pPr>
    </w:p>
    <w:p w14:paraId="4F36E8D4" w14:textId="77777777" w:rsidR="00AE0010" w:rsidRPr="00C564F2" w:rsidRDefault="00AE0010" w:rsidP="00AE0010">
      <w:pPr>
        <w:jc w:val="both"/>
        <w:rPr>
          <w:b/>
          <w:lang w:val="en-ID"/>
        </w:rPr>
      </w:pPr>
      <w:r w:rsidRPr="00C564F2">
        <w:rPr>
          <w:b/>
          <w:lang w:val="en-ID"/>
        </w:rPr>
        <w:t>Discussion</w:t>
      </w:r>
    </w:p>
    <w:p w14:paraId="088EEBA7" w14:textId="77777777" w:rsidR="00AE0010" w:rsidRPr="00C564F2" w:rsidRDefault="00AE0010" w:rsidP="00AE0010">
      <w:pPr>
        <w:ind w:firstLine="450"/>
        <w:jc w:val="both"/>
        <w:rPr>
          <w:bCs/>
          <w:lang w:val="en-ID"/>
        </w:rPr>
      </w:pPr>
      <w:r w:rsidRPr="00C564F2">
        <w:rPr>
          <w:bCs/>
          <w:lang w:val="en-ID"/>
        </w:rPr>
        <w:t xml:space="preserve">Non-performing financing (NPF) at </w:t>
      </w:r>
      <w:r>
        <w:rPr>
          <w:bCs/>
          <w:lang w:val="en-ID"/>
        </w:rPr>
        <w:t>IRB</w:t>
      </w:r>
      <w:r w:rsidRPr="00C564F2">
        <w:rPr>
          <w:bCs/>
          <w:lang w:val="en-ID"/>
        </w:rPr>
        <w:t xml:space="preserve"> in this study is influenced by several variables. The bank size variable </w:t>
      </w:r>
      <w:r w:rsidRPr="00C564F2">
        <w:rPr>
          <w:bCs/>
          <w:lang w:val="id-ID"/>
        </w:rPr>
        <w:t>specified</w:t>
      </w:r>
      <w:r w:rsidRPr="00C564F2">
        <w:rPr>
          <w:bCs/>
          <w:lang w:val="en-ID"/>
        </w:rPr>
        <w:t xml:space="preserve"> that there is a significant and negative effect on the data of all banks. Although there is no difference in the level of influence and significance on the NPF for large and small data banks. This shows that the high NPF at </w:t>
      </w:r>
      <w:r>
        <w:rPr>
          <w:bCs/>
          <w:lang w:val="en-ID"/>
        </w:rPr>
        <w:t>IRB</w:t>
      </w:r>
      <w:r w:rsidRPr="00C564F2">
        <w:rPr>
          <w:bCs/>
          <w:lang w:val="en-ID"/>
        </w:rPr>
        <w:t xml:space="preserve"> is not completely influenced by the size of the bank during the COVID-19 pandemic.</w:t>
      </w:r>
    </w:p>
    <w:p w14:paraId="6DF328F3" w14:textId="77777777" w:rsidR="00AE0010" w:rsidRPr="00C564F2" w:rsidRDefault="00AE0010" w:rsidP="00AE0010">
      <w:pPr>
        <w:jc w:val="both"/>
        <w:rPr>
          <w:lang w:val="en-ID"/>
        </w:rPr>
      </w:pPr>
      <w:r w:rsidRPr="00C564F2">
        <w:rPr>
          <w:lang w:val="en-ID"/>
        </w:rPr>
        <w:t xml:space="preserve">The financing ratio (FDR) of BPR Syariah to the total </w:t>
      </w:r>
      <w:r w:rsidRPr="00C564F2">
        <w:rPr>
          <w:lang w:val="id-ID"/>
        </w:rPr>
        <w:t xml:space="preserve">equity </w:t>
      </w:r>
      <w:r w:rsidRPr="00C564F2">
        <w:rPr>
          <w:lang w:val="en-ID"/>
        </w:rPr>
        <w:t xml:space="preserve">owned by </w:t>
      </w:r>
      <w:r>
        <w:rPr>
          <w:lang w:val="en-ID"/>
        </w:rPr>
        <w:t>IRB</w:t>
      </w:r>
      <w:r w:rsidRPr="00C564F2">
        <w:rPr>
          <w:lang w:val="en-ID"/>
        </w:rPr>
        <w:t xml:space="preserve"> shows a positive and significant influence on NPF in large banks. The high level of FDR at large banks </w:t>
      </w:r>
      <w:proofErr w:type="gramStart"/>
      <w:r w:rsidRPr="00C564F2">
        <w:rPr>
          <w:lang w:val="id-ID"/>
        </w:rPr>
        <w:t>increase</w:t>
      </w:r>
      <w:proofErr w:type="gramEnd"/>
      <w:r w:rsidRPr="00C564F2">
        <w:rPr>
          <w:lang w:val="id-ID"/>
        </w:rPr>
        <w:t xml:space="preserve"> the</w:t>
      </w:r>
      <w:r w:rsidRPr="00C564F2">
        <w:rPr>
          <w:lang w:val="en-ID"/>
        </w:rPr>
        <w:t xml:space="preserve"> non-performing </w:t>
      </w:r>
      <w:r w:rsidRPr="00C564F2">
        <w:rPr>
          <w:lang w:val="id-ID"/>
        </w:rPr>
        <w:t>financing</w:t>
      </w:r>
      <w:r w:rsidRPr="00C564F2">
        <w:rPr>
          <w:lang w:val="en-ID"/>
        </w:rPr>
        <w:t xml:space="preserve">. This result is in accordance with research by </w:t>
      </w:r>
      <w:r w:rsidRPr="00C564F2">
        <w:rPr>
          <w:lang w:val="en-ID"/>
        </w:rPr>
        <w:fldChar w:fldCharType="begin" w:fldLock="1"/>
      </w:r>
      <w:r w:rsidRPr="00C564F2">
        <w:rPr>
          <w:lang w:val="en-ID"/>
        </w:rPr>
        <w:instrText>ADDIN CSL_CITATION {"citationItems":[{"id":"ITEM-1","itemData":{"ISBN":"9788578110796","ISSN":"1098-6596","PMID":"25246403","author":[{"dropping-particle":"","family":"R.D.Kadir","given":"","non-dropping-particle":"","parse-names":false,"suffix":""}],"container-title":"Jurnal Nisbah","id":"ITEM-1","issue":"02","issued":{"date-parts":[["2019"]]},"page":"100-105","title":"Estimasi Janga Pendek dan Jangka Panjang Risiko Pembiayaan BPRS di Indonesia","type":"article-journal","volume":"05"},"uris":["http://www.mendeley.com/documents/?uuid=877a7cba-cea3-4c0b-a917-4dc432cb2846"]},{"id":"ITEM-2","itemData":{"author":[{"dropping-particle":"","family":"Solihatun","given":"","non-dropping-particle":"","parse-names":false,"suffix":""}],"container-title":"Junal Ekonomi Pembanangunan","id":"ITEM-2","issue":"1","issued":{"date-parts":[["1994"]]},"title":"Analisis Non Performing Financing (NPF) Bank Umum Syariah di Indonesia tahun 2007-2012","type":"article-journal","volume":"12"},"uris":["http://www.mendeley.com/documents/?uuid=848b18ca-9a39-412d-b88c-d5412a81cd30"]}],"mendeley":{"formattedCitation":"(R.D.Kadir, 2019; Solihatun, 1994)","manualFormatting":"R.D.Kadir (2019 dan Solihatun (1994)","plainTextFormattedCitation":"(R.D.Kadir, 2019; Solihatun, 1994)","previouslyFormattedCitation":"(R.D.Kadir, 2019; Solihatun, 1994)"},"properties":{"noteIndex":0},"schema":"https://github.com/citation-style-language/schema/raw/master/csl-citation.json"}</w:instrText>
      </w:r>
      <w:r w:rsidRPr="00C564F2">
        <w:rPr>
          <w:lang w:val="en-ID"/>
        </w:rPr>
        <w:fldChar w:fldCharType="separate"/>
      </w:r>
      <w:proofErr w:type="spellStart"/>
      <w:r w:rsidRPr="00C564F2">
        <w:rPr>
          <w:lang w:val="en-ID"/>
        </w:rPr>
        <w:t>R.D.Kadir</w:t>
      </w:r>
      <w:proofErr w:type="spellEnd"/>
      <w:r w:rsidRPr="00C564F2">
        <w:rPr>
          <w:lang w:val="en-ID"/>
        </w:rPr>
        <w:t xml:space="preserve"> (2019 dan </w:t>
      </w:r>
      <w:proofErr w:type="spellStart"/>
      <w:r w:rsidRPr="00C564F2">
        <w:rPr>
          <w:lang w:val="en-ID"/>
        </w:rPr>
        <w:t>Solihatun</w:t>
      </w:r>
      <w:proofErr w:type="spellEnd"/>
      <w:r w:rsidRPr="00C564F2">
        <w:rPr>
          <w:lang w:val="en-ID"/>
        </w:rPr>
        <w:t xml:space="preserve"> (1994)</w:t>
      </w:r>
      <w:r w:rsidRPr="00C564F2">
        <w:rPr>
          <w:lang w:val="en-ID"/>
        </w:rPr>
        <w:fldChar w:fldCharType="end"/>
      </w:r>
      <w:r w:rsidRPr="00C564F2">
        <w:rPr>
          <w:lang w:val="en-ID"/>
        </w:rPr>
        <w:t xml:space="preserve"> which shows a positive and significant effect of FDR on NPF. Large banks show a tendency to </w:t>
      </w:r>
      <w:r w:rsidRPr="00C564F2">
        <w:rPr>
          <w:lang w:val="id-ID"/>
        </w:rPr>
        <w:t>disburse</w:t>
      </w:r>
      <w:r w:rsidRPr="00C564F2">
        <w:rPr>
          <w:lang w:val="en-ID"/>
        </w:rPr>
        <w:t xml:space="preserve"> their financing to riskier financing than small banks </w:t>
      </w:r>
      <w:r w:rsidRPr="00C564F2">
        <w:rPr>
          <w:lang w:val="en-ID"/>
        </w:rPr>
        <w:fldChar w:fldCharType="begin" w:fldLock="1"/>
      </w:r>
      <w:r w:rsidRPr="00C564F2">
        <w:rPr>
          <w:lang w:val="en-ID"/>
        </w:rPr>
        <w:instrText>ADDIN CSL_CITATION {"citationItems":[{"id":"ITEM-1","itemData":{"DOI":"10.13106/jafeb.2020.vol7.no9.305","author":[{"dropping-particle":"","family":"Widarjono","given":"Agus","non-dropping-particle":"","parse-names":false,"suffix":""},{"dropping-particle":"","family":"Anto","given":"M B Hendrie","non-dropping-particle":"","parse-names":false,"suffix":""},{"dropping-particle":"","family":"Fakhrunnas","given":"Faaza","non-dropping-particle":"","parse-names":false,"suffix":""}],"id":"ITEM-1","issue":"9","issued":{"date-parts":[["2020"]]},"page":"305-314","title":"Financing Risk in Indonesian Islamic Rural Banks : Do Financing Products Matter ?*","type":"article-journal","volume":"7"},"uris":["http://www.mendeley.com/documents/?uuid=3e0285a8-3ffd-4550-864e-e7b8538e5062"]}],"mendeley":{"formattedCitation":"(Widarjono et al., 2020)","plainTextFormattedCitation":"(Widarjono et al., 2020)","previouslyFormattedCitation":"(Widarjono et al., 2020)"},"properties":{"noteIndex":0},"schema":"https://github.com/citation-style-language/schema/raw/master/csl-citation.json"}</w:instrText>
      </w:r>
      <w:r w:rsidRPr="00C564F2">
        <w:rPr>
          <w:lang w:val="en-ID"/>
        </w:rPr>
        <w:fldChar w:fldCharType="separate"/>
      </w:r>
      <w:r w:rsidRPr="00C564F2">
        <w:rPr>
          <w:lang w:val="en-ID"/>
        </w:rPr>
        <w:t>(</w:t>
      </w:r>
      <w:proofErr w:type="spellStart"/>
      <w:r w:rsidRPr="00C564F2">
        <w:rPr>
          <w:lang w:val="en-ID"/>
        </w:rPr>
        <w:t>Widarjono</w:t>
      </w:r>
      <w:proofErr w:type="spellEnd"/>
      <w:r w:rsidRPr="00C564F2">
        <w:rPr>
          <w:lang w:val="en-ID"/>
        </w:rPr>
        <w:t xml:space="preserve"> et al., 2020)</w:t>
      </w:r>
      <w:r w:rsidRPr="00C564F2">
        <w:rPr>
          <w:lang w:val="en-ID"/>
        </w:rPr>
        <w:fldChar w:fldCharType="end"/>
      </w:r>
      <w:r w:rsidRPr="00C564F2">
        <w:rPr>
          <w:lang w:val="en-ID"/>
        </w:rPr>
        <w:t xml:space="preserve">. </w:t>
      </w:r>
      <w:r w:rsidRPr="00C564F2">
        <w:rPr>
          <w:lang w:val="id-ID"/>
        </w:rPr>
        <w:t xml:space="preserve">It </w:t>
      </w:r>
      <w:r w:rsidRPr="00C564F2">
        <w:rPr>
          <w:lang w:val="en-ID"/>
        </w:rPr>
        <w:t>causes the amount of financing at large banks has an impact on increasing the number of NPF, especially during the covid-19 pandemic.</w:t>
      </w:r>
    </w:p>
    <w:p w14:paraId="2476F6D4" w14:textId="77777777" w:rsidR="00AE0010" w:rsidRPr="00C564F2" w:rsidRDefault="00AE0010" w:rsidP="00AE0010">
      <w:pPr>
        <w:jc w:val="both"/>
        <w:rPr>
          <w:lang w:val="en-ID"/>
        </w:rPr>
      </w:pPr>
      <w:r w:rsidRPr="00C564F2">
        <w:t>The increase in NPF at large banks during the COVID-19 pandemic is also influenced by the</w:t>
      </w:r>
      <w:r w:rsidRPr="00C564F2">
        <w:rPr>
          <w:lang w:val="id-ID"/>
        </w:rPr>
        <w:t xml:space="preserve"> slow</w:t>
      </w:r>
      <w:r w:rsidRPr="00C564F2">
        <w:t xml:space="preserve"> regional economic growth</w:t>
      </w:r>
      <w:r w:rsidRPr="00C564F2">
        <w:rPr>
          <w:lang w:val="id-ID"/>
        </w:rPr>
        <w:t xml:space="preserve">. </w:t>
      </w:r>
      <w:r w:rsidRPr="00C564F2">
        <w:t xml:space="preserve">The results of this study </w:t>
      </w:r>
      <w:proofErr w:type="spellStart"/>
      <w:r w:rsidRPr="00C564F2">
        <w:t>specif</w:t>
      </w:r>
      <w:proofErr w:type="spellEnd"/>
      <w:r w:rsidRPr="00C564F2">
        <w:rPr>
          <w:lang w:val="id-ID"/>
        </w:rPr>
        <w:t>ied</w:t>
      </w:r>
      <w:r w:rsidRPr="00C564F2">
        <w:t xml:space="preserve"> that economic growth (GRDP) both in Java and outside Java has a negative and significant effect. The </w:t>
      </w:r>
      <w:proofErr w:type="spellStart"/>
      <w:r w:rsidRPr="00C564F2">
        <w:t>stagn</w:t>
      </w:r>
      <w:proofErr w:type="spellEnd"/>
      <w:r w:rsidRPr="00C564F2">
        <w:rPr>
          <w:lang w:val="id-ID"/>
        </w:rPr>
        <w:t>ation</w:t>
      </w:r>
      <w:r w:rsidRPr="00C564F2">
        <w:t xml:space="preserve"> of economic growth during the COVID-19 pandemic </w:t>
      </w:r>
      <w:r w:rsidRPr="00C564F2">
        <w:rPr>
          <w:lang w:val="id-ID"/>
        </w:rPr>
        <w:t>causes</w:t>
      </w:r>
      <w:r w:rsidRPr="00C564F2">
        <w:t xml:space="preserve"> </w:t>
      </w:r>
      <w:r w:rsidRPr="00C564F2">
        <w:rPr>
          <w:lang w:val="id-ID"/>
        </w:rPr>
        <w:t>non-performing financing</w:t>
      </w:r>
      <w:r w:rsidRPr="00C564F2">
        <w:t xml:space="preserve">, especially to large banks whose financing contracts </w:t>
      </w:r>
      <w:r w:rsidRPr="00C564F2">
        <w:rPr>
          <w:lang w:val="id-ID"/>
        </w:rPr>
        <w:t>are</w:t>
      </w:r>
      <w:r w:rsidRPr="00C564F2">
        <w:t xml:space="preserve"> </w:t>
      </w:r>
      <w:proofErr w:type="gramStart"/>
      <w:r w:rsidRPr="00C564F2">
        <w:t>more risky</w:t>
      </w:r>
      <w:proofErr w:type="gramEnd"/>
      <w:r w:rsidRPr="00C564F2">
        <w:t xml:space="preserve">. These results support the research of </w:t>
      </w:r>
      <w:r w:rsidRPr="00C564F2">
        <w:rPr>
          <w:lang w:val="en-ID"/>
        </w:rPr>
        <w:fldChar w:fldCharType="begin" w:fldLock="1"/>
      </w:r>
      <w:r w:rsidRPr="00C564F2">
        <w:rPr>
          <w:lang w:val="en-ID"/>
        </w:rPr>
        <w:instrText>ADDIN CSL_CITATION {"citationItems":[{"id":"ITEM-1","itemData":{"DOI":"10.1080/1540496X.2018.1547877","ISSN":"1540-496X","author":[{"dropping-particle":"","family":"Kuzucu","given":"Narman","non-dropping-particle":"","parse-names":false,"suffix":""},{"dropping-particle":"","family":"Kuzucu","given":"Serpil","non-dropping-particle":"","parse-names":false,"suffix":""},{"dropping-particle":"","family":"Kuzucu","given":"Narman","non-dropping-particle":"","parse-names":false,"suffix":""}],"container-title":"Emerging Markets Finance and Trade","id":"ITEM-1","issue":"00","issued":{"date-parts":[["2019"]]},"page":"1-15","publisher":"Routledge","title":"What Drives Non-Performing Loans ? Evidence from Emerging and Advanced Economies during Pre- and Post-Global Financial Crisis What Drives Non-Performing Loans ? Evidence from Emerging and Advanced Economies during Pre- and Post-Global Financial Crisis","type":"article-journal","volume":"00"},"uris":["http://www.mendeley.com/documents/?uuid=f502d765-c146-468b-b84b-f2b923548f29"]}],"mendeley":{"formattedCitation":"(Kuzucu et al., 2019)","manualFormatting":"Kuzucu et al. (2019)","plainTextFormattedCitation":"(Kuzucu et al., 2019)","previouslyFormattedCitation":"(Kuzucu et al., 2019)"},"properties":{"noteIndex":0},"schema":"https://github.com/citation-style-language/schema/raw/master/csl-citation.json"}</w:instrText>
      </w:r>
      <w:r w:rsidRPr="00C564F2">
        <w:rPr>
          <w:lang w:val="en-ID"/>
        </w:rPr>
        <w:fldChar w:fldCharType="separate"/>
      </w:r>
      <w:proofErr w:type="spellStart"/>
      <w:r w:rsidRPr="00C564F2">
        <w:rPr>
          <w:lang w:val="en-ID"/>
        </w:rPr>
        <w:t>Kuzucu</w:t>
      </w:r>
      <w:proofErr w:type="spellEnd"/>
      <w:r w:rsidRPr="00C564F2">
        <w:rPr>
          <w:lang w:val="en-ID"/>
        </w:rPr>
        <w:t xml:space="preserve"> et al. (2019)</w:t>
      </w:r>
      <w:r w:rsidRPr="00C564F2">
        <w:rPr>
          <w:lang w:val="en-ID"/>
        </w:rPr>
        <w:fldChar w:fldCharType="end"/>
      </w:r>
      <w:r w:rsidRPr="00C564F2">
        <w:rPr>
          <w:lang w:val="en-ID"/>
        </w:rPr>
        <w:t xml:space="preserve"> </w:t>
      </w:r>
      <w:r w:rsidRPr="00C564F2">
        <w:t>which explain</w:t>
      </w:r>
      <w:r w:rsidRPr="00C564F2">
        <w:rPr>
          <w:lang w:val="id-ID"/>
        </w:rPr>
        <w:t>ed</w:t>
      </w:r>
      <w:r w:rsidRPr="00C564F2">
        <w:t xml:space="preserve"> that during a crisis the rate of economic growth will have an impact on increasing the NPF. The negative and significant effect of GRDP in this study is in line with research </w:t>
      </w:r>
      <w:r w:rsidRPr="00C564F2">
        <w:rPr>
          <w:lang w:val="id-ID"/>
        </w:rPr>
        <w:t xml:space="preserve">conducted </w:t>
      </w:r>
      <w:r w:rsidRPr="00C564F2">
        <w:t>by</w:t>
      </w:r>
      <w:r w:rsidRPr="00C564F2">
        <w:rPr>
          <w:lang w:val="en-ID"/>
        </w:rPr>
        <w:t xml:space="preserve"> </w:t>
      </w:r>
      <w:r w:rsidRPr="00C564F2">
        <w:rPr>
          <w:lang w:val="en-ID"/>
        </w:rPr>
        <w:fldChar w:fldCharType="begin" w:fldLock="1"/>
      </w:r>
      <w:r w:rsidRPr="00C564F2">
        <w:rPr>
          <w:lang w:val="en-ID"/>
        </w:rPr>
        <w:instrText>ADDIN CSL_CITATION {"citationItems":[{"id":"ITEM-1","itemData":{"DOI":"10.1080/1540496X.2018.1547877","ISSN":"1540-496X","author":[{"dropping-particle":"","family":"Kuzucu","given":"Narman","non-dropping-particle":"","parse-names":false,"suffix":""},{"dropping-particle":"","family":"Kuzucu","given":"Serpil","non-dropping-particle":"","parse-names":false,"suffix":""},{"dropping-particle":"","family":"Kuzucu","given":"Narman","non-dropping-particle":"","parse-names":false,"suffix":""}],"container-title":"Emerging Markets Finance and Trade","id":"ITEM-1","issue":"00","issued":{"date-parts":[["2019"]]},"page":"1-15","publisher":"Routledge","title":"What Drives Non-Performing Loans ? Evidence from Emerging and Advanced Economies during Pre- and Post-Global Financial Crisis What Drives Non-Performing Loans ? Evidence from Emerging and Advanced Economies during Pre- and Post-Global Financial Crisis","type":"article-journal","volume":"00"},"uris":["http://www.mendeley.com/documents/?uuid=f502d765-c146-468b-b84b-f2b923548f29"]},{"id":"ITEM-2","itemData":{"author":[{"dropping-particle":"","family":"Firmansyah","given":"Irman","non-dropping-particle":"","parse-names":false,"suffix":""}],"container-title":"Buletin Ekonomi Moneter dan Perbankan","id":"ITEM-2","issue":"2","issued":{"date-parts":[["2014"]]},"title":"Determinant of Non Performing Loan: The Case of Islamic Bank In Indonesia","type":"article-journal","volume":"17"},"uris":["http://www.mendeley.com/documents/?uuid=70ce4719-850f-4be0-a39f-c501091ae91d"]},{"id":"ITEM-3","itemData":{"author":[{"dropping-particle":"","family":"Prasanna","given":"P. Krishna","non-dropping-particle":"","parse-names":false,"suffix":""},{"dropping-particle":"","family":"Thenmozhi","given":"M.","non-dropping-particle":"","parse-names":false,"suffix":""},{"dropping-particle":"","family":"Nimit","given":"Rana","non-dropping-particle":"","parse-names":false,"suffix":""}],"container-title":"Banks and Bank Systems","id":"ITEM-3","issue":"2","issued":{"date-parts":[["2014"]]},"page":"65-77","title":"Determinants of non-performing advances in Indian banking system","type":"article-journal","volume":"9"},"uris":["http://www.mendeley.com/documents/?uuid=6b06a8f2-8ef1-41bb-a7ea-a8b2950833aa"]},{"id":"ITEM-4","itemData":{"author":[{"dropping-particle":"","family":"Badar","given":"Munib","non-dropping-particle":"","parse-names":false,"suffix":""},{"dropping-particle":"","family":"Javid","given":"Atiya Yasmin","non-dropping-particle":"","parse-names":false,"suffix":""}],"container-title":"WSEAS TRANSACTIONS on BUSINESS and ECONOMICS","id":"ITEM-4","issue":"1","issued":{"date-parts":[["2013"]]},"page":"40-48","title":"Impact of Macroeconomic Forces on Nonperforming Loans : An Empirical Study of Commercial Banks in Pakistan","type":"article-journal","volume":"10"},"uris":["http://www.mendeley.com/documents/?uuid=702ca522-d8d8-4f40-bfa1-d399812ac6a5"]},{"id":"ITEM-5","itemData":{"DOI":"10.1016/j.jfs.2015.08.004","ISSN":"1572-3089","author":[{"dropping-particle":"","family":"Ghosh","given":"Amit","non-dropping-particle":"","parse-names":false,"suffix":""}],"container-title":"Journal of Financial Stability","id":"ITEM-5","issued":{"date-parts":[["2015"]]},"publisher":"Elsevier B.V.","title":"Banking-industry specific and regional economic determinants of Non-Performing Loans: Evidence from US States","type":"article-journal"},"uris":["http://www.mendeley.com/documents/?uuid=c87ac336-0cf5-4e4b-88ef-a796c0f94fc4"]}],"mendeley":{"formattedCitation":"(Badar &amp; Javid, 2013; Firmansyah, 2014; Ghosh, 2015; Kuzucu et al., 2019; Prasanna et al., 2014)","manualFormatting":"Badar &amp; Javid (2013; Firmansyah (2014); Ghosh (2015); Kuzucu et al. (2019); Prasanna et al. (2014)","plainTextFormattedCitation":"(Badar &amp; Javid, 2013; Firmansyah, 2014; Ghosh, 2015; Kuzucu et al., 2019; Prasanna et al., 2014)","previouslyFormattedCitation":"(Badar &amp; Javid, 2013; Firmansyah, 2014; Ghosh, 2015; Kuzucu et al., 2019; Prasanna et al., 2014)"},"properties":{"noteIndex":0},"schema":"https://github.com/citation-style-language/schema/raw/master/csl-citation.json"}</w:instrText>
      </w:r>
      <w:r w:rsidRPr="00C564F2">
        <w:rPr>
          <w:lang w:val="en-ID"/>
        </w:rPr>
        <w:fldChar w:fldCharType="separate"/>
      </w:r>
      <w:proofErr w:type="spellStart"/>
      <w:r w:rsidRPr="00C564F2">
        <w:rPr>
          <w:lang w:val="en-ID"/>
        </w:rPr>
        <w:t>Badar</w:t>
      </w:r>
      <w:proofErr w:type="spellEnd"/>
      <w:r w:rsidRPr="00C564F2">
        <w:rPr>
          <w:lang w:val="en-ID"/>
        </w:rPr>
        <w:t xml:space="preserve"> &amp; Javid (2013; </w:t>
      </w:r>
      <w:proofErr w:type="spellStart"/>
      <w:r w:rsidRPr="00C564F2">
        <w:rPr>
          <w:lang w:val="en-ID"/>
        </w:rPr>
        <w:t>Firmansyah</w:t>
      </w:r>
      <w:proofErr w:type="spellEnd"/>
      <w:r w:rsidRPr="00C564F2">
        <w:rPr>
          <w:lang w:val="en-ID"/>
        </w:rPr>
        <w:t xml:space="preserve"> (2014); Ghosh (2015); </w:t>
      </w:r>
      <w:proofErr w:type="spellStart"/>
      <w:r w:rsidRPr="00C564F2">
        <w:rPr>
          <w:lang w:val="en-ID"/>
        </w:rPr>
        <w:t>Kuzucu</w:t>
      </w:r>
      <w:proofErr w:type="spellEnd"/>
      <w:r w:rsidRPr="00C564F2">
        <w:rPr>
          <w:lang w:val="en-ID"/>
        </w:rPr>
        <w:t xml:space="preserve"> et al. (2019); Prasanna et al. (2014)</w:t>
      </w:r>
      <w:r w:rsidRPr="00C564F2">
        <w:rPr>
          <w:lang w:val="en-ID"/>
        </w:rPr>
        <w:fldChar w:fldCharType="end"/>
      </w:r>
      <w:r w:rsidRPr="00C564F2">
        <w:rPr>
          <w:lang w:val="en-ID"/>
        </w:rPr>
        <w:t>.</w:t>
      </w:r>
    </w:p>
    <w:p w14:paraId="02E7E2EF" w14:textId="77777777" w:rsidR="00AE0010" w:rsidRPr="00C564F2" w:rsidRDefault="00AE0010" w:rsidP="00AE0010">
      <w:pPr>
        <w:jc w:val="both"/>
      </w:pPr>
      <w:r w:rsidRPr="00C564F2">
        <w:lastRenderedPageBreak/>
        <w:t xml:space="preserve">The outcomes of this study also confirm that </w:t>
      </w:r>
      <w:r>
        <w:t>OER</w:t>
      </w:r>
      <w:r w:rsidRPr="00C564F2">
        <w:t xml:space="preserve"> has a negative and significant effect on the data of all banks and small banks. The positive yet insignificant effect presented by </w:t>
      </w:r>
      <w:r>
        <w:t xml:space="preserve">OER </w:t>
      </w:r>
      <w:r w:rsidRPr="00C564F2">
        <w:t xml:space="preserve">to NPF is occurred in large banks and banks located outside Java. This result is contrary to the research conducted by </w:t>
      </w:r>
      <w:r w:rsidRPr="00C564F2">
        <w:rPr>
          <w:lang w:val="en-ID"/>
        </w:rPr>
        <w:fldChar w:fldCharType="begin" w:fldLock="1"/>
      </w:r>
      <w:r w:rsidRPr="00C564F2">
        <w:rPr>
          <w:lang w:val="en-ID"/>
        </w:rPr>
        <w:instrText>ADDIN CSL_CITATION {"citationItems":[{"id":"ITEM-1","itemData":{"author":[{"dropping-particle":"","family":"Hughes","given":"J. P.","non-dropping-particle":"","parse-names":false,"suffix":""},{"dropping-particle":"","family":"Mester","given":"L. J.","non-dropping-particle":"","parse-names":false,"suffix":""}],"container-title":"Journal of Productivity Analysis","id":"ITEM-1","issued":{"date-parts":[["1993"]]},"page":"293-315","title":"A Quality and Risk-adjusted Cost Function for Banks: Evidence on the ‘Too-Big-to-Fail’ Doctrine","type":"article-journal","volume":"4"},"uris":["http://www.mendeley.com/documents/?uuid=011fc01a-9f04-41e2-8e99-5b9d9177b970"]},{"id":"ITEM-2","itemData":{"author":[{"dropping-particle":"","family":"Girardone","given":"C.","non-dropping-particle":"","parse-names":false,"suffix":""},{"dropping-particle":"","family":"Molyneux","given":"P.","non-dropping-particle":"","parse-names":false,"suffix":""},{"dropping-particle":"","family":"Gardener","given":"E. P.","non-dropping-particle":"","parse-names":false,"suffix":""}],"container-title":"Applied Economics","id":"ITEM-2","issue":"36","issued":{"date-parts":[["2004"]]},"page":"215-227","title":"Analysing the Determinants of Bank Efficiency: The Case of Italian Banks","type":"article-journal","volume":"36"},"uris":["http://www.mendeley.com/documents/?uuid=cae56031-ea19-44d1-b57b-75fa99fec463"]}],"mendeley":{"formattedCitation":"(Girardone et al., 2004; Hughes &amp; Mester, 1993)","manualFormatting":"Girardone et al. (2004); Hughes &amp; Mester (1993)","plainTextFormattedCitation":"(Girardone et al., 2004; Hughes &amp; Mester, 1993)","previouslyFormattedCitation":"(Girardone et al., 2004; Hughes &amp; Mester, 1993)"},"properties":{"noteIndex":0},"schema":"https://github.com/citation-style-language/schema/raw/master/csl-citation.json"}</w:instrText>
      </w:r>
      <w:r w:rsidRPr="00C564F2">
        <w:rPr>
          <w:lang w:val="en-ID"/>
        </w:rPr>
        <w:fldChar w:fldCharType="separate"/>
      </w:r>
      <w:proofErr w:type="spellStart"/>
      <w:r w:rsidRPr="00C564F2">
        <w:rPr>
          <w:lang w:val="en-ID"/>
        </w:rPr>
        <w:t>Girardone</w:t>
      </w:r>
      <w:proofErr w:type="spellEnd"/>
      <w:r w:rsidRPr="00C564F2">
        <w:rPr>
          <w:lang w:val="en-ID"/>
        </w:rPr>
        <w:t xml:space="preserve"> et al. (2004); Hughes &amp; Mester (1993)</w:t>
      </w:r>
      <w:r w:rsidRPr="00C564F2">
        <w:rPr>
          <w:lang w:val="en-ID"/>
        </w:rPr>
        <w:fldChar w:fldCharType="end"/>
      </w:r>
      <w:r w:rsidRPr="00C564F2">
        <w:rPr>
          <w:lang w:val="en-ID"/>
        </w:rPr>
        <w:t xml:space="preserve"> </w:t>
      </w:r>
      <w:r w:rsidRPr="00C564F2">
        <w:t xml:space="preserve">which </w:t>
      </w:r>
      <w:r w:rsidRPr="00C564F2">
        <w:rPr>
          <w:lang w:val="id-ID"/>
        </w:rPr>
        <w:t>confirmed</w:t>
      </w:r>
      <w:r w:rsidRPr="00C564F2">
        <w:t xml:space="preserve"> a positive effect of </w:t>
      </w:r>
      <w:r>
        <w:t>OER.</w:t>
      </w:r>
    </w:p>
    <w:p w14:paraId="4705DCF7" w14:textId="77777777" w:rsidR="005C4FD2" w:rsidRPr="00736C2E" w:rsidRDefault="005C4FD2" w:rsidP="008B2542">
      <w:pPr>
        <w:pStyle w:val="BodyText"/>
        <w:spacing w:after="0" w:line="216" w:lineRule="auto"/>
        <w:ind w:left="426" w:hanging="426"/>
        <w:jc w:val="both"/>
        <w:rPr>
          <w:rFonts w:ascii="Centaur" w:hAnsi="Centaur"/>
          <w:b/>
          <w:sz w:val="28"/>
          <w:szCs w:val="28"/>
          <w:lang w:val="it-IT"/>
        </w:rPr>
      </w:pPr>
    </w:p>
    <w:p w14:paraId="46FADC60" w14:textId="77777777" w:rsidR="000D20C8" w:rsidRDefault="00B06972" w:rsidP="008B2542">
      <w:pPr>
        <w:pStyle w:val="BodyText"/>
        <w:spacing w:after="0" w:line="216" w:lineRule="auto"/>
        <w:ind w:left="426" w:hanging="426"/>
        <w:jc w:val="both"/>
        <w:rPr>
          <w:rFonts w:ascii="Centaur" w:hAnsi="Centaur"/>
          <w:b/>
          <w:sz w:val="28"/>
          <w:szCs w:val="28"/>
          <w:lang w:val="id-ID"/>
        </w:rPr>
      </w:pPr>
      <w:r w:rsidRPr="00736C2E">
        <w:rPr>
          <w:rFonts w:ascii="Centaur" w:hAnsi="Centaur"/>
          <w:b/>
          <w:sz w:val="28"/>
          <w:szCs w:val="28"/>
          <w:lang w:val="id-ID"/>
        </w:rPr>
        <w:t>E.</w:t>
      </w:r>
      <w:r w:rsidRPr="00736C2E">
        <w:rPr>
          <w:rFonts w:ascii="Centaur" w:hAnsi="Centaur"/>
          <w:b/>
          <w:sz w:val="28"/>
          <w:szCs w:val="28"/>
          <w:lang w:val="id-ID"/>
        </w:rPr>
        <w:tab/>
      </w:r>
      <w:r w:rsidR="008F4C8B">
        <w:rPr>
          <w:rFonts w:ascii="Centaur" w:hAnsi="Centaur"/>
          <w:b/>
          <w:sz w:val="28"/>
          <w:szCs w:val="28"/>
          <w:lang w:val="id-ID"/>
        </w:rPr>
        <w:t>CONCLUSION</w:t>
      </w:r>
      <w:r w:rsidR="005C4FD2" w:rsidRPr="00736C2E">
        <w:rPr>
          <w:rFonts w:ascii="Centaur" w:hAnsi="Centaur"/>
          <w:b/>
          <w:sz w:val="28"/>
          <w:szCs w:val="28"/>
          <w:lang w:val="it-IT"/>
        </w:rPr>
        <w:tab/>
      </w:r>
      <w:r w:rsidR="005C4FD2" w:rsidRPr="00736C2E">
        <w:rPr>
          <w:rFonts w:ascii="Centaur" w:hAnsi="Centaur"/>
          <w:b/>
          <w:sz w:val="28"/>
          <w:szCs w:val="28"/>
          <w:lang w:val="it-IT"/>
        </w:rPr>
        <w:tab/>
      </w:r>
    </w:p>
    <w:p w14:paraId="382EFF79" w14:textId="77777777" w:rsidR="00AE0010" w:rsidRDefault="00AE0010" w:rsidP="00AE0010">
      <w:pPr>
        <w:spacing w:after="200"/>
        <w:ind w:firstLine="450"/>
        <w:jc w:val="both"/>
      </w:pPr>
      <w:r w:rsidRPr="00C564F2">
        <w:t xml:space="preserve">Concluded based on the above analysis, that in 2020 during the COVID-19 pandemic, the NPF level is strongly influenced by regional economic growth (GRDP). The variable of Bank size shows a negative and significant effect to NPF. The variable of FDR in large banks shows a positive and significant effect. Additionally, the variable of </w:t>
      </w:r>
      <w:r>
        <w:t>OER</w:t>
      </w:r>
      <w:r w:rsidRPr="00C564F2">
        <w:t xml:space="preserve"> </w:t>
      </w:r>
      <w:r w:rsidRPr="00C564F2">
        <w:rPr>
          <w:lang w:val="id-ID"/>
        </w:rPr>
        <w:t xml:space="preserve">is </w:t>
      </w:r>
      <w:r w:rsidRPr="00C564F2">
        <w:t xml:space="preserve">confirmed </w:t>
      </w:r>
      <w:r w:rsidRPr="00C564F2">
        <w:rPr>
          <w:lang w:val="id-ID"/>
        </w:rPr>
        <w:t xml:space="preserve">to have </w:t>
      </w:r>
      <w:r w:rsidRPr="00C564F2">
        <w:t xml:space="preserve">positive </w:t>
      </w:r>
      <w:r w:rsidRPr="00C564F2">
        <w:rPr>
          <w:lang w:val="id-ID"/>
        </w:rPr>
        <w:t>yet</w:t>
      </w:r>
      <w:r w:rsidRPr="00C564F2">
        <w:t xml:space="preserve"> </w:t>
      </w:r>
      <w:r w:rsidRPr="00C564F2">
        <w:rPr>
          <w:lang w:val="id-ID"/>
        </w:rPr>
        <w:t>in</w:t>
      </w:r>
      <w:r w:rsidRPr="00C564F2">
        <w:t xml:space="preserve">significant effect </w:t>
      </w:r>
      <w:r w:rsidRPr="00C564F2">
        <w:rPr>
          <w:lang w:val="id-ID"/>
        </w:rPr>
        <w:t>to</w:t>
      </w:r>
      <w:r w:rsidRPr="00C564F2">
        <w:t xml:space="preserve"> large banks.</w:t>
      </w:r>
    </w:p>
    <w:p w14:paraId="6E2C2283" w14:textId="5D69A014" w:rsidR="00AE0010" w:rsidRPr="00C564F2" w:rsidRDefault="00AE0010" w:rsidP="00AE0010">
      <w:pPr>
        <w:spacing w:after="200"/>
        <w:ind w:firstLine="450"/>
        <w:jc w:val="both"/>
      </w:pPr>
      <w:r w:rsidRPr="00C564F2">
        <w:t xml:space="preserve">The findings and conclusions in this research </w:t>
      </w:r>
      <w:proofErr w:type="gramStart"/>
      <w:r w:rsidRPr="00C564F2">
        <w:t>is</w:t>
      </w:r>
      <w:proofErr w:type="gramEnd"/>
      <w:r w:rsidRPr="00C564F2">
        <w:t xml:space="preserve"> expected to be the logical source of I</w:t>
      </w:r>
      <w:r>
        <w:t xml:space="preserve">RB </w:t>
      </w:r>
      <w:r w:rsidRPr="00C564F2">
        <w:t xml:space="preserve">in Indonesia to manage the NPF, especially during the COVID-19 pandemic. </w:t>
      </w:r>
      <w:r>
        <w:t>IRB</w:t>
      </w:r>
      <w:r w:rsidRPr="00C564F2">
        <w:t xml:space="preserve"> </w:t>
      </w:r>
      <w:r w:rsidRPr="00C564F2">
        <w:rPr>
          <w:lang w:val="id-ID"/>
        </w:rPr>
        <w:t>should</w:t>
      </w:r>
      <w:r w:rsidRPr="00C564F2">
        <w:t xml:space="preserve"> be able to overcome the negative impact of economic growth. This study has </w:t>
      </w:r>
      <w:r w:rsidRPr="00C564F2">
        <w:rPr>
          <w:lang w:val="id-ID"/>
        </w:rPr>
        <w:t xml:space="preserve">its </w:t>
      </w:r>
      <w:r w:rsidRPr="00C564F2">
        <w:t>limitations on the variables and data</w:t>
      </w:r>
      <w:r w:rsidRPr="00C564F2">
        <w:rPr>
          <w:lang w:val="id-ID"/>
        </w:rPr>
        <w:t xml:space="preserve"> collected</w:t>
      </w:r>
      <w:r w:rsidRPr="00C564F2">
        <w:t xml:space="preserve">. </w:t>
      </w:r>
      <w:r w:rsidRPr="00C564F2">
        <w:rPr>
          <w:lang w:val="id-ID"/>
        </w:rPr>
        <w:t>The f</w:t>
      </w:r>
      <w:proofErr w:type="spellStart"/>
      <w:r w:rsidRPr="00C564F2">
        <w:t>uture</w:t>
      </w:r>
      <w:proofErr w:type="spellEnd"/>
      <w:r w:rsidRPr="00C564F2">
        <w:t xml:space="preserve"> research is expected to be able to use </w:t>
      </w:r>
      <w:r w:rsidRPr="00C564F2">
        <w:rPr>
          <w:lang w:val="id-ID"/>
        </w:rPr>
        <w:t xml:space="preserve">the </w:t>
      </w:r>
      <w:r w:rsidRPr="00C564F2">
        <w:t xml:space="preserve">data taken both before and after the COVID-19 pandemic. In addition, </w:t>
      </w:r>
      <w:r w:rsidRPr="00C564F2">
        <w:rPr>
          <w:lang w:val="id-ID"/>
        </w:rPr>
        <w:t xml:space="preserve">the data of </w:t>
      </w:r>
      <w:r w:rsidRPr="00C564F2">
        <w:t>macro</w:t>
      </w:r>
      <w:r w:rsidRPr="00C564F2">
        <w:rPr>
          <w:lang w:val="id-ID"/>
        </w:rPr>
        <w:t>economic</w:t>
      </w:r>
      <w:r w:rsidRPr="00C564F2">
        <w:t xml:space="preserve"> and internal bank engaged in this study are limited</w:t>
      </w:r>
      <w:r w:rsidRPr="00C564F2">
        <w:rPr>
          <w:lang w:val="id-ID"/>
        </w:rPr>
        <w:t xml:space="preserve">. Therefore, could </w:t>
      </w:r>
      <w:r w:rsidRPr="00C564F2">
        <w:t xml:space="preserve">be accomplished </w:t>
      </w:r>
      <w:proofErr w:type="spellStart"/>
      <w:r w:rsidRPr="00C564F2">
        <w:t>i</w:t>
      </w:r>
      <w:proofErr w:type="spellEnd"/>
      <w:r w:rsidRPr="00C564F2">
        <w:rPr>
          <w:lang w:val="id-ID"/>
        </w:rPr>
        <w:t>n the</w:t>
      </w:r>
      <w:r w:rsidRPr="00C564F2">
        <w:t xml:space="preserve"> further research.</w:t>
      </w:r>
    </w:p>
    <w:p w14:paraId="5DB5DE58" w14:textId="77777777" w:rsidR="005C4FD2" w:rsidRPr="00736C2E" w:rsidRDefault="005C4FD2" w:rsidP="008B2542">
      <w:pPr>
        <w:spacing w:line="192" w:lineRule="auto"/>
        <w:ind w:firstLine="720"/>
        <w:jc w:val="both"/>
        <w:rPr>
          <w:rFonts w:ascii="Centaur" w:hAnsi="Centaur"/>
          <w:sz w:val="28"/>
          <w:szCs w:val="28"/>
          <w:lang w:val="it-IT"/>
        </w:rPr>
      </w:pPr>
    </w:p>
    <w:p w14:paraId="251FC683" w14:textId="77777777" w:rsidR="00245FFD" w:rsidRPr="00F42780" w:rsidRDefault="00245FFD" w:rsidP="008B2542">
      <w:pPr>
        <w:tabs>
          <w:tab w:val="left" w:pos="6615"/>
        </w:tabs>
        <w:spacing w:line="192" w:lineRule="auto"/>
        <w:jc w:val="both"/>
        <w:rPr>
          <w:rFonts w:ascii="Centaur" w:hAnsi="Centaur"/>
          <w:b/>
          <w:sz w:val="28"/>
          <w:szCs w:val="28"/>
          <w:lang w:val="id-ID"/>
        </w:rPr>
      </w:pPr>
    </w:p>
    <w:p w14:paraId="4F0F62AF" w14:textId="77777777" w:rsidR="006B23CF" w:rsidRPr="00736C2E" w:rsidRDefault="00736C2E" w:rsidP="00F42780">
      <w:pPr>
        <w:spacing w:line="192" w:lineRule="auto"/>
        <w:jc w:val="center"/>
        <w:rPr>
          <w:rFonts w:ascii="Centaur" w:hAnsi="Centaur"/>
          <w:b/>
          <w:bCs/>
          <w:sz w:val="28"/>
          <w:szCs w:val="28"/>
          <w:lang w:val="id-ID"/>
        </w:rPr>
      </w:pPr>
      <w:r w:rsidRPr="008F4C8B">
        <w:rPr>
          <w:rFonts w:ascii="Centaur" w:hAnsi="Centaur"/>
          <w:b/>
          <w:bCs/>
          <w:sz w:val="28"/>
          <w:szCs w:val="28"/>
          <w:lang w:val="it-IT"/>
        </w:rPr>
        <w:t>REFERENCES</w:t>
      </w:r>
    </w:p>
    <w:p w14:paraId="1C49BE46" w14:textId="77777777" w:rsidR="00736C2E" w:rsidRPr="00736C2E" w:rsidRDefault="00736C2E" w:rsidP="008B2542">
      <w:pPr>
        <w:spacing w:line="192" w:lineRule="auto"/>
        <w:jc w:val="both"/>
        <w:rPr>
          <w:rFonts w:ascii="Centaur" w:hAnsi="Centaur"/>
          <w:sz w:val="28"/>
          <w:szCs w:val="28"/>
          <w:lang w:val="id-ID"/>
        </w:rPr>
      </w:pPr>
    </w:p>
    <w:p w14:paraId="54155015" w14:textId="77777777" w:rsidR="00736C2E" w:rsidRPr="00736C2E" w:rsidRDefault="00736C2E" w:rsidP="008B2542">
      <w:pPr>
        <w:spacing w:line="192" w:lineRule="auto"/>
        <w:ind w:firstLine="720"/>
        <w:jc w:val="both"/>
        <w:rPr>
          <w:rFonts w:ascii="Centaur" w:hAnsi="Centaur"/>
          <w:sz w:val="28"/>
          <w:szCs w:val="28"/>
          <w:lang w:val="id-ID"/>
        </w:rPr>
      </w:pPr>
    </w:p>
    <w:p w14:paraId="174EEEB3" w14:textId="77777777" w:rsidR="00AE0010" w:rsidRPr="00C564F2" w:rsidRDefault="00AE0010" w:rsidP="00AE0010">
      <w:pPr>
        <w:widowControl w:val="0"/>
        <w:autoSpaceDE w:val="0"/>
        <w:autoSpaceDN w:val="0"/>
        <w:adjustRightInd w:val="0"/>
        <w:ind w:left="480" w:hanging="480"/>
        <w:jc w:val="both"/>
        <w:rPr>
          <w:lang w:val="en-ID"/>
        </w:rPr>
      </w:pPr>
      <w:r w:rsidRPr="00C564F2">
        <w:rPr>
          <w:lang w:val="en-ID"/>
        </w:rPr>
        <w:fldChar w:fldCharType="begin" w:fldLock="1"/>
      </w:r>
      <w:r w:rsidRPr="00C564F2">
        <w:rPr>
          <w:lang w:val="en-ID"/>
        </w:rPr>
        <w:instrText xml:space="preserve">ADDIN Mendeley Bibliography CSL_BIBLIOGRAPHY </w:instrText>
      </w:r>
      <w:r w:rsidRPr="00C564F2">
        <w:rPr>
          <w:lang w:val="en-ID"/>
        </w:rPr>
        <w:fldChar w:fldCharType="separate"/>
      </w:r>
      <w:proofErr w:type="spellStart"/>
      <w:r w:rsidRPr="00C564F2">
        <w:rPr>
          <w:lang w:val="en-ID"/>
        </w:rPr>
        <w:t>Abedifar</w:t>
      </w:r>
      <w:proofErr w:type="spellEnd"/>
      <w:r w:rsidRPr="00C564F2">
        <w:rPr>
          <w:lang w:val="en-ID"/>
        </w:rPr>
        <w:t xml:space="preserve">, P., Molyneux, P., &amp; </w:t>
      </w:r>
      <w:proofErr w:type="spellStart"/>
      <w:r w:rsidRPr="00C564F2">
        <w:rPr>
          <w:lang w:val="en-ID"/>
        </w:rPr>
        <w:t>Tarazi</w:t>
      </w:r>
      <w:proofErr w:type="spellEnd"/>
      <w:r w:rsidRPr="00C564F2">
        <w:rPr>
          <w:lang w:val="en-ID"/>
        </w:rPr>
        <w:t xml:space="preserve">, A. (2013). Risk in </w:t>
      </w:r>
      <w:proofErr w:type="spellStart"/>
      <w:r w:rsidRPr="00C564F2">
        <w:rPr>
          <w:lang w:val="en-ID"/>
        </w:rPr>
        <w:t>islamic</w:t>
      </w:r>
      <w:proofErr w:type="spellEnd"/>
      <w:r w:rsidRPr="00C564F2">
        <w:rPr>
          <w:lang w:val="en-ID"/>
        </w:rPr>
        <w:t xml:space="preserve"> banking. </w:t>
      </w:r>
      <w:r w:rsidRPr="00C564F2">
        <w:rPr>
          <w:i/>
          <w:iCs/>
          <w:lang w:val="en-ID"/>
        </w:rPr>
        <w:t>Review of Finance</w:t>
      </w:r>
      <w:r w:rsidRPr="00C564F2">
        <w:rPr>
          <w:lang w:val="en-ID"/>
        </w:rPr>
        <w:t xml:space="preserve">, </w:t>
      </w:r>
      <w:r w:rsidRPr="00C564F2">
        <w:rPr>
          <w:i/>
          <w:iCs/>
          <w:lang w:val="en-ID"/>
        </w:rPr>
        <w:t>17</w:t>
      </w:r>
      <w:r w:rsidRPr="00C564F2">
        <w:rPr>
          <w:lang w:val="en-ID"/>
        </w:rPr>
        <w:t>(6), 2035– 2096.</w:t>
      </w:r>
    </w:p>
    <w:p w14:paraId="4A2803D9" w14:textId="77777777" w:rsidR="00AE0010" w:rsidRPr="00C564F2" w:rsidRDefault="00AE0010" w:rsidP="00AE0010">
      <w:pPr>
        <w:widowControl w:val="0"/>
        <w:autoSpaceDE w:val="0"/>
        <w:autoSpaceDN w:val="0"/>
        <w:adjustRightInd w:val="0"/>
        <w:ind w:left="480" w:hanging="480"/>
        <w:jc w:val="both"/>
        <w:rPr>
          <w:lang w:val="en-ID"/>
        </w:rPr>
      </w:pPr>
      <w:proofErr w:type="spellStart"/>
      <w:r w:rsidRPr="00C564F2">
        <w:rPr>
          <w:lang w:val="en-ID"/>
        </w:rPr>
        <w:t>Badar</w:t>
      </w:r>
      <w:proofErr w:type="spellEnd"/>
      <w:r w:rsidRPr="00C564F2">
        <w:rPr>
          <w:lang w:val="en-ID"/>
        </w:rPr>
        <w:t xml:space="preserve">, M., &amp; Javid, A. Y. (2013). Impact of Macroeconomic Forces on Nonperforming </w:t>
      </w:r>
      <w:proofErr w:type="gramStart"/>
      <w:r w:rsidRPr="00C564F2">
        <w:rPr>
          <w:lang w:val="en-ID"/>
        </w:rPr>
        <w:t>Loans :</w:t>
      </w:r>
      <w:proofErr w:type="gramEnd"/>
      <w:r w:rsidRPr="00C564F2">
        <w:rPr>
          <w:lang w:val="en-ID"/>
        </w:rPr>
        <w:t xml:space="preserve"> An Empirical Study of Commercial Banks in Pakistan. </w:t>
      </w:r>
      <w:r w:rsidRPr="00C564F2">
        <w:rPr>
          <w:i/>
          <w:iCs/>
          <w:lang w:val="en-ID"/>
        </w:rPr>
        <w:t>WSEAS TRANSACTIONS on BUSINESS and ECONOMICS</w:t>
      </w:r>
      <w:r w:rsidRPr="00C564F2">
        <w:rPr>
          <w:lang w:val="en-ID"/>
        </w:rPr>
        <w:t xml:space="preserve">, </w:t>
      </w:r>
      <w:r w:rsidRPr="00C564F2">
        <w:rPr>
          <w:i/>
          <w:iCs/>
          <w:lang w:val="en-ID"/>
        </w:rPr>
        <w:t>10</w:t>
      </w:r>
      <w:r w:rsidRPr="00C564F2">
        <w:rPr>
          <w:lang w:val="en-ID"/>
        </w:rPr>
        <w:t>(1), 40–48.</w:t>
      </w:r>
    </w:p>
    <w:p w14:paraId="7C2865DC" w14:textId="77777777" w:rsidR="00AE0010" w:rsidRPr="00C564F2" w:rsidRDefault="00AE0010" w:rsidP="00AE0010">
      <w:pPr>
        <w:widowControl w:val="0"/>
        <w:autoSpaceDE w:val="0"/>
        <w:autoSpaceDN w:val="0"/>
        <w:adjustRightInd w:val="0"/>
        <w:ind w:left="480" w:hanging="480"/>
        <w:jc w:val="both"/>
        <w:rPr>
          <w:lang w:val="en-ID"/>
        </w:rPr>
      </w:pPr>
      <w:proofErr w:type="spellStart"/>
      <w:r w:rsidRPr="00C564F2">
        <w:rPr>
          <w:lang w:val="en-ID"/>
        </w:rPr>
        <w:t>Bardhan</w:t>
      </w:r>
      <w:proofErr w:type="spellEnd"/>
      <w:r w:rsidRPr="00C564F2">
        <w:rPr>
          <w:lang w:val="en-ID"/>
        </w:rPr>
        <w:t xml:space="preserve">, S., Sharma, R., &amp; Mukherjee, V. (2019). </w:t>
      </w:r>
      <w:proofErr w:type="spellStart"/>
      <w:r w:rsidRPr="00C564F2">
        <w:rPr>
          <w:i/>
          <w:iCs/>
          <w:lang w:val="en-ID"/>
        </w:rPr>
        <w:t>Treshold</w:t>
      </w:r>
      <w:proofErr w:type="spellEnd"/>
      <w:r w:rsidRPr="00C564F2">
        <w:rPr>
          <w:i/>
          <w:iCs/>
          <w:lang w:val="en-ID"/>
        </w:rPr>
        <w:t xml:space="preserve"> of Bank-specific Non-performing </w:t>
      </w:r>
      <w:proofErr w:type="gramStart"/>
      <w:r w:rsidRPr="00C564F2">
        <w:rPr>
          <w:i/>
          <w:iCs/>
          <w:lang w:val="en-ID"/>
        </w:rPr>
        <w:t>Assets :</w:t>
      </w:r>
      <w:proofErr w:type="gramEnd"/>
      <w:r w:rsidRPr="00C564F2">
        <w:rPr>
          <w:i/>
          <w:iCs/>
          <w:lang w:val="en-ID"/>
        </w:rPr>
        <w:t xml:space="preserve"> An Application in Indian Banking</w:t>
      </w:r>
      <w:r w:rsidRPr="00C564F2">
        <w:rPr>
          <w:lang w:val="en-ID"/>
        </w:rPr>
        <w:t xml:space="preserve">. </w:t>
      </w:r>
      <w:r w:rsidRPr="00C564F2">
        <w:rPr>
          <w:i/>
          <w:iCs/>
          <w:lang w:val="en-ID"/>
        </w:rPr>
        <w:t>18</w:t>
      </w:r>
      <w:r w:rsidRPr="00C564F2">
        <w:rPr>
          <w:lang w:val="en-ID"/>
        </w:rPr>
        <w:t>(1). https://doi.org/10.1177/0972652719831546</w:t>
      </w:r>
    </w:p>
    <w:p w14:paraId="34D89472" w14:textId="77777777" w:rsidR="00AE0010" w:rsidRPr="00C564F2" w:rsidRDefault="00AE0010" w:rsidP="00AE0010">
      <w:pPr>
        <w:widowControl w:val="0"/>
        <w:autoSpaceDE w:val="0"/>
        <w:autoSpaceDN w:val="0"/>
        <w:adjustRightInd w:val="0"/>
        <w:ind w:left="480" w:hanging="480"/>
        <w:jc w:val="both"/>
        <w:rPr>
          <w:lang w:val="en-ID"/>
        </w:rPr>
      </w:pPr>
      <w:proofErr w:type="spellStart"/>
      <w:r w:rsidRPr="00C564F2">
        <w:rPr>
          <w:lang w:val="en-ID"/>
        </w:rPr>
        <w:t>Cetorelli</w:t>
      </w:r>
      <w:proofErr w:type="spellEnd"/>
      <w:r w:rsidRPr="00C564F2">
        <w:rPr>
          <w:lang w:val="en-ID"/>
        </w:rPr>
        <w:t xml:space="preserve">, N., B.H., M., &amp; L., M. (2012). The Evolution of Banks and Financial </w:t>
      </w:r>
      <w:proofErr w:type="spellStart"/>
      <w:r w:rsidRPr="00C564F2">
        <w:rPr>
          <w:lang w:val="en-ID"/>
        </w:rPr>
        <w:t>Tntermediation</w:t>
      </w:r>
      <w:proofErr w:type="spellEnd"/>
      <w:r w:rsidRPr="00C564F2">
        <w:rPr>
          <w:lang w:val="en-ID"/>
        </w:rPr>
        <w:t xml:space="preserve">: Framing </w:t>
      </w:r>
      <w:proofErr w:type="gramStart"/>
      <w:r w:rsidRPr="00C564F2">
        <w:rPr>
          <w:lang w:val="en-ID"/>
        </w:rPr>
        <w:t>The</w:t>
      </w:r>
      <w:proofErr w:type="gramEnd"/>
      <w:r w:rsidRPr="00C564F2">
        <w:rPr>
          <w:lang w:val="en-ID"/>
        </w:rPr>
        <w:t xml:space="preserve"> Analysis. </w:t>
      </w:r>
      <w:r w:rsidRPr="00C564F2">
        <w:rPr>
          <w:i/>
          <w:iCs/>
          <w:lang w:val="en-ID"/>
        </w:rPr>
        <w:t>Federal Reserve Bank of New York Economic Policy Review</w:t>
      </w:r>
      <w:r w:rsidRPr="00C564F2">
        <w:rPr>
          <w:lang w:val="en-ID"/>
        </w:rPr>
        <w:t xml:space="preserve">, </w:t>
      </w:r>
      <w:r w:rsidRPr="00C564F2">
        <w:rPr>
          <w:i/>
          <w:iCs/>
          <w:lang w:val="en-ID"/>
        </w:rPr>
        <w:t>18</w:t>
      </w:r>
      <w:r w:rsidRPr="00C564F2">
        <w:rPr>
          <w:lang w:val="en-ID"/>
        </w:rPr>
        <w:t>(2), 1–12.</w:t>
      </w:r>
    </w:p>
    <w:p w14:paraId="73C3A610" w14:textId="77777777" w:rsidR="00AE0010" w:rsidRPr="00C564F2" w:rsidRDefault="00AE0010" w:rsidP="00AE0010">
      <w:pPr>
        <w:widowControl w:val="0"/>
        <w:autoSpaceDE w:val="0"/>
        <w:autoSpaceDN w:val="0"/>
        <w:adjustRightInd w:val="0"/>
        <w:ind w:left="480" w:hanging="480"/>
        <w:jc w:val="both"/>
        <w:rPr>
          <w:lang w:val="en-ID"/>
        </w:rPr>
      </w:pPr>
      <w:r w:rsidRPr="00C564F2">
        <w:rPr>
          <w:lang w:val="en-ID"/>
        </w:rPr>
        <w:t xml:space="preserve">Chitra </w:t>
      </w:r>
      <w:proofErr w:type="spellStart"/>
      <w:r w:rsidRPr="00C564F2">
        <w:rPr>
          <w:lang w:val="en-ID"/>
        </w:rPr>
        <w:t>Yuliashri</w:t>
      </w:r>
      <w:proofErr w:type="spellEnd"/>
      <w:r w:rsidRPr="00C564F2">
        <w:rPr>
          <w:lang w:val="en-ID"/>
        </w:rPr>
        <w:t xml:space="preserve"> </w:t>
      </w:r>
      <w:proofErr w:type="spellStart"/>
      <w:r w:rsidRPr="00C564F2">
        <w:rPr>
          <w:lang w:val="en-ID"/>
        </w:rPr>
        <w:t>Katili</w:t>
      </w:r>
      <w:proofErr w:type="spellEnd"/>
      <w:r w:rsidRPr="00C564F2">
        <w:rPr>
          <w:lang w:val="en-ID"/>
        </w:rPr>
        <w:t xml:space="preserve">, &amp; </w:t>
      </w:r>
      <w:proofErr w:type="spellStart"/>
      <w:r w:rsidRPr="00C564F2">
        <w:rPr>
          <w:lang w:val="en-ID"/>
        </w:rPr>
        <w:t>Rifadli</w:t>
      </w:r>
      <w:proofErr w:type="spellEnd"/>
      <w:r w:rsidRPr="00C564F2">
        <w:rPr>
          <w:lang w:val="en-ID"/>
        </w:rPr>
        <w:t xml:space="preserve"> D. Kadir. (2021). Profitability of Islamic Microfinance in Indonesia: Does the Type of Financing Matter? </w:t>
      </w:r>
      <w:proofErr w:type="spellStart"/>
      <w:proofErr w:type="gramStart"/>
      <w:r w:rsidRPr="00C564F2">
        <w:rPr>
          <w:i/>
          <w:iCs/>
          <w:lang w:val="en-ID"/>
        </w:rPr>
        <w:t>Mutanaqishah</w:t>
      </w:r>
      <w:proofErr w:type="spellEnd"/>
      <w:r w:rsidRPr="00C564F2">
        <w:rPr>
          <w:i/>
          <w:iCs/>
          <w:lang w:val="en-ID"/>
        </w:rPr>
        <w:t> :</w:t>
      </w:r>
      <w:proofErr w:type="gramEnd"/>
      <w:r w:rsidRPr="00C564F2">
        <w:rPr>
          <w:i/>
          <w:iCs/>
          <w:lang w:val="en-ID"/>
        </w:rPr>
        <w:t xml:space="preserve"> Journal of Islamic Banking</w:t>
      </w:r>
      <w:r w:rsidRPr="00C564F2">
        <w:rPr>
          <w:lang w:val="en-ID"/>
        </w:rPr>
        <w:t xml:space="preserve">, </w:t>
      </w:r>
      <w:r w:rsidRPr="00C564F2">
        <w:rPr>
          <w:i/>
          <w:iCs/>
          <w:lang w:val="en-ID"/>
        </w:rPr>
        <w:t>1</w:t>
      </w:r>
      <w:r w:rsidRPr="00C564F2">
        <w:rPr>
          <w:lang w:val="en-ID"/>
        </w:rPr>
        <w:t>(1), 31–38. https://doi.org/10.54045/mutanaqishah.v1i1.306</w:t>
      </w:r>
    </w:p>
    <w:p w14:paraId="33C6AD0C" w14:textId="77777777" w:rsidR="00AE0010" w:rsidRPr="00C564F2" w:rsidRDefault="00AE0010" w:rsidP="00AE0010">
      <w:pPr>
        <w:widowControl w:val="0"/>
        <w:autoSpaceDE w:val="0"/>
        <w:autoSpaceDN w:val="0"/>
        <w:adjustRightInd w:val="0"/>
        <w:ind w:left="480" w:hanging="480"/>
        <w:jc w:val="both"/>
        <w:rPr>
          <w:lang w:val="en-ID"/>
        </w:rPr>
      </w:pPr>
      <w:r w:rsidRPr="00C564F2">
        <w:rPr>
          <w:lang w:val="en-ID"/>
        </w:rPr>
        <w:t xml:space="preserve">EL-Maude, J. G., Abdul-Rahman, A., &amp; Ibrahim, M. (2017). </w:t>
      </w:r>
      <w:r w:rsidRPr="00C564F2">
        <w:rPr>
          <w:i/>
          <w:iCs/>
          <w:lang w:val="en-ID"/>
        </w:rPr>
        <w:t>Determinants of Non - Performing Loans in Nigeria’s Deposit</w:t>
      </w:r>
      <w:r w:rsidRPr="00C564F2">
        <w:rPr>
          <w:lang w:val="en-ID"/>
        </w:rPr>
        <w:t xml:space="preserve">. </w:t>
      </w:r>
      <w:r w:rsidRPr="00C564F2">
        <w:rPr>
          <w:i/>
          <w:iCs/>
          <w:lang w:val="en-ID"/>
        </w:rPr>
        <w:t>5</w:t>
      </w:r>
      <w:r w:rsidRPr="00C564F2">
        <w:rPr>
          <w:lang w:val="en-ID"/>
        </w:rPr>
        <w:t>(1), 74–88.</w:t>
      </w:r>
    </w:p>
    <w:p w14:paraId="67E97B4D" w14:textId="77777777" w:rsidR="00AE0010" w:rsidRPr="00C564F2" w:rsidRDefault="00AE0010" w:rsidP="00AE0010">
      <w:pPr>
        <w:widowControl w:val="0"/>
        <w:autoSpaceDE w:val="0"/>
        <w:autoSpaceDN w:val="0"/>
        <w:adjustRightInd w:val="0"/>
        <w:ind w:left="480" w:hanging="480"/>
        <w:jc w:val="both"/>
        <w:rPr>
          <w:lang w:val="en-ID"/>
        </w:rPr>
      </w:pPr>
      <w:proofErr w:type="spellStart"/>
      <w:r w:rsidRPr="00C564F2">
        <w:rPr>
          <w:lang w:val="en-ID"/>
        </w:rPr>
        <w:lastRenderedPageBreak/>
        <w:t>Firmansyah</w:t>
      </w:r>
      <w:proofErr w:type="spellEnd"/>
      <w:r w:rsidRPr="00C564F2">
        <w:rPr>
          <w:lang w:val="en-ID"/>
        </w:rPr>
        <w:t xml:space="preserve">, I. (2014). Determinant of </w:t>
      </w:r>
      <w:proofErr w:type="spellStart"/>
      <w:proofErr w:type="gramStart"/>
      <w:r w:rsidRPr="00C564F2">
        <w:rPr>
          <w:lang w:val="en-ID"/>
        </w:rPr>
        <w:t>Non Performing</w:t>
      </w:r>
      <w:proofErr w:type="spellEnd"/>
      <w:proofErr w:type="gramEnd"/>
      <w:r w:rsidRPr="00C564F2">
        <w:rPr>
          <w:lang w:val="en-ID"/>
        </w:rPr>
        <w:t xml:space="preserve"> Loan: The Case of Islamic Bank In Indonesia. </w:t>
      </w:r>
      <w:proofErr w:type="spellStart"/>
      <w:r w:rsidRPr="00C564F2">
        <w:rPr>
          <w:i/>
          <w:iCs/>
          <w:lang w:val="en-ID"/>
        </w:rPr>
        <w:t>Buletin</w:t>
      </w:r>
      <w:proofErr w:type="spellEnd"/>
      <w:r w:rsidRPr="00C564F2">
        <w:rPr>
          <w:i/>
          <w:iCs/>
          <w:lang w:val="en-ID"/>
        </w:rPr>
        <w:t xml:space="preserve"> </w:t>
      </w:r>
      <w:proofErr w:type="spellStart"/>
      <w:r w:rsidRPr="00C564F2">
        <w:rPr>
          <w:i/>
          <w:iCs/>
          <w:lang w:val="en-ID"/>
        </w:rPr>
        <w:t>Ekonomi</w:t>
      </w:r>
      <w:proofErr w:type="spellEnd"/>
      <w:r w:rsidRPr="00C564F2">
        <w:rPr>
          <w:i/>
          <w:iCs/>
          <w:lang w:val="en-ID"/>
        </w:rPr>
        <w:t xml:space="preserve"> </w:t>
      </w:r>
      <w:proofErr w:type="spellStart"/>
      <w:r w:rsidRPr="00C564F2">
        <w:rPr>
          <w:i/>
          <w:iCs/>
          <w:lang w:val="en-ID"/>
        </w:rPr>
        <w:t>Moneter</w:t>
      </w:r>
      <w:proofErr w:type="spellEnd"/>
      <w:r w:rsidRPr="00C564F2">
        <w:rPr>
          <w:i/>
          <w:iCs/>
          <w:lang w:val="en-ID"/>
        </w:rPr>
        <w:t xml:space="preserve"> Dan </w:t>
      </w:r>
      <w:proofErr w:type="spellStart"/>
      <w:r w:rsidRPr="00C564F2">
        <w:rPr>
          <w:i/>
          <w:iCs/>
          <w:lang w:val="en-ID"/>
        </w:rPr>
        <w:t>Perbankan</w:t>
      </w:r>
      <w:proofErr w:type="spellEnd"/>
      <w:r w:rsidRPr="00C564F2">
        <w:rPr>
          <w:lang w:val="en-ID"/>
        </w:rPr>
        <w:t xml:space="preserve">, </w:t>
      </w:r>
      <w:r w:rsidRPr="00C564F2">
        <w:rPr>
          <w:i/>
          <w:iCs/>
          <w:lang w:val="en-ID"/>
        </w:rPr>
        <w:t>17</w:t>
      </w:r>
      <w:r w:rsidRPr="00C564F2">
        <w:rPr>
          <w:lang w:val="en-ID"/>
        </w:rPr>
        <w:t>(2).</w:t>
      </w:r>
    </w:p>
    <w:p w14:paraId="032C1FEE" w14:textId="77777777" w:rsidR="00AE0010" w:rsidRPr="00C564F2" w:rsidRDefault="00AE0010" w:rsidP="00AE0010">
      <w:pPr>
        <w:widowControl w:val="0"/>
        <w:autoSpaceDE w:val="0"/>
        <w:autoSpaceDN w:val="0"/>
        <w:adjustRightInd w:val="0"/>
        <w:ind w:left="480" w:hanging="480"/>
        <w:jc w:val="both"/>
        <w:rPr>
          <w:lang w:val="en-ID"/>
        </w:rPr>
      </w:pPr>
      <w:r w:rsidRPr="00C564F2">
        <w:rPr>
          <w:lang w:val="en-ID"/>
        </w:rPr>
        <w:t xml:space="preserve">Ghosh, A. (2015). Banking-industry specific and regional economic determinants of Non-Performing Loans: Evidence from US States. </w:t>
      </w:r>
      <w:r w:rsidRPr="00C564F2">
        <w:rPr>
          <w:i/>
          <w:iCs/>
          <w:lang w:val="en-ID"/>
        </w:rPr>
        <w:t>Journal of Financial Stability</w:t>
      </w:r>
      <w:r w:rsidRPr="00C564F2">
        <w:rPr>
          <w:lang w:val="en-ID"/>
        </w:rPr>
        <w:t>. https://doi.org/10.1016/j.jfs.2015.08.004</w:t>
      </w:r>
    </w:p>
    <w:p w14:paraId="4ED1909A" w14:textId="77777777" w:rsidR="00AE0010" w:rsidRPr="00C564F2" w:rsidRDefault="00AE0010" w:rsidP="00AE0010">
      <w:pPr>
        <w:widowControl w:val="0"/>
        <w:autoSpaceDE w:val="0"/>
        <w:autoSpaceDN w:val="0"/>
        <w:adjustRightInd w:val="0"/>
        <w:ind w:left="480" w:hanging="480"/>
        <w:jc w:val="both"/>
        <w:rPr>
          <w:lang w:val="en-ID"/>
        </w:rPr>
      </w:pPr>
      <w:proofErr w:type="spellStart"/>
      <w:r w:rsidRPr="00C564F2">
        <w:rPr>
          <w:lang w:val="en-ID"/>
        </w:rPr>
        <w:t>Girardone</w:t>
      </w:r>
      <w:proofErr w:type="spellEnd"/>
      <w:r w:rsidRPr="00C564F2">
        <w:rPr>
          <w:lang w:val="en-ID"/>
        </w:rPr>
        <w:t xml:space="preserve">, C., Molyneux, P., &amp; Gardener, E. P. (2004). Analysing the Determinants of Bank Efficiency: The Case of Italian Banks. </w:t>
      </w:r>
      <w:r w:rsidRPr="00C564F2">
        <w:rPr>
          <w:i/>
          <w:iCs/>
          <w:lang w:val="en-ID"/>
        </w:rPr>
        <w:t>Applied Economics</w:t>
      </w:r>
      <w:r w:rsidRPr="00C564F2">
        <w:rPr>
          <w:lang w:val="en-ID"/>
        </w:rPr>
        <w:t xml:space="preserve">, </w:t>
      </w:r>
      <w:r w:rsidRPr="00C564F2">
        <w:rPr>
          <w:i/>
          <w:iCs/>
          <w:lang w:val="en-ID"/>
        </w:rPr>
        <w:t>36</w:t>
      </w:r>
      <w:r w:rsidRPr="00C564F2">
        <w:rPr>
          <w:lang w:val="en-ID"/>
        </w:rPr>
        <w:t>(36), 215–227.</w:t>
      </w:r>
    </w:p>
    <w:p w14:paraId="58A5450E" w14:textId="77777777" w:rsidR="00AE0010" w:rsidRPr="00C564F2" w:rsidRDefault="00AE0010" w:rsidP="00AE0010">
      <w:pPr>
        <w:widowControl w:val="0"/>
        <w:autoSpaceDE w:val="0"/>
        <w:autoSpaceDN w:val="0"/>
        <w:adjustRightInd w:val="0"/>
        <w:ind w:left="480" w:hanging="480"/>
        <w:jc w:val="both"/>
        <w:rPr>
          <w:lang w:val="en-ID"/>
        </w:rPr>
      </w:pPr>
      <w:proofErr w:type="spellStart"/>
      <w:r w:rsidRPr="00C564F2">
        <w:rPr>
          <w:lang w:val="en-ID"/>
        </w:rPr>
        <w:t>Havidz</w:t>
      </w:r>
      <w:proofErr w:type="spellEnd"/>
      <w:r w:rsidRPr="00C564F2">
        <w:rPr>
          <w:lang w:val="en-ID"/>
        </w:rPr>
        <w:t xml:space="preserve">, S. A. H., &amp; Setiawan, C. (2015). Bank Efficiency and Non-Performing Financing (NPF) In </w:t>
      </w:r>
      <w:proofErr w:type="gramStart"/>
      <w:r w:rsidRPr="00C564F2">
        <w:rPr>
          <w:lang w:val="en-ID"/>
        </w:rPr>
        <w:t>The</w:t>
      </w:r>
      <w:proofErr w:type="gramEnd"/>
      <w:r w:rsidRPr="00C564F2">
        <w:rPr>
          <w:lang w:val="en-ID"/>
        </w:rPr>
        <w:t xml:space="preserve"> Indonesian Islamic Banks. </w:t>
      </w:r>
      <w:r w:rsidRPr="00C564F2">
        <w:rPr>
          <w:i/>
          <w:iCs/>
          <w:lang w:val="en-ID"/>
        </w:rPr>
        <w:t>Asian Journal of Economics Modelling</w:t>
      </w:r>
      <w:r w:rsidRPr="00C564F2">
        <w:rPr>
          <w:lang w:val="en-ID"/>
        </w:rPr>
        <w:t xml:space="preserve">, </w:t>
      </w:r>
      <w:r w:rsidRPr="00C564F2">
        <w:rPr>
          <w:i/>
          <w:iCs/>
          <w:lang w:val="en-ID"/>
        </w:rPr>
        <w:t>3</w:t>
      </w:r>
      <w:r w:rsidRPr="00C564F2">
        <w:rPr>
          <w:lang w:val="en-ID"/>
        </w:rPr>
        <w:t>(3), 61–79. https://doi.org/10.18488/journal.8/2015.3.3/8.3.61.79</w:t>
      </w:r>
    </w:p>
    <w:p w14:paraId="57570426" w14:textId="77777777" w:rsidR="00AE0010" w:rsidRPr="00C564F2" w:rsidRDefault="00AE0010" w:rsidP="00AE0010">
      <w:pPr>
        <w:widowControl w:val="0"/>
        <w:autoSpaceDE w:val="0"/>
        <w:autoSpaceDN w:val="0"/>
        <w:adjustRightInd w:val="0"/>
        <w:ind w:left="480" w:hanging="480"/>
        <w:jc w:val="both"/>
        <w:rPr>
          <w:lang w:val="en-ID"/>
        </w:rPr>
      </w:pPr>
      <w:r w:rsidRPr="00C564F2">
        <w:rPr>
          <w:lang w:val="en-ID"/>
        </w:rPr>
        <w:t xml:space="preserve">Hughes, J. P., &amp; Mester, L. J. (1993). A Quality and Risk-adjusted Cost Function for Banks: Evidence on the ‘Too-Big-to-Fail’ Doctrine. </w:t>
      </w:r>
      <w:r w:rsidRPr="00C564F2">
        <w:rPr>
          <w:i/>
          <w:iCs/>
          <w:lang w:val="en-ID"/>
        </w:rPr>
        <w:t>Journal of Productivity Analysis</w:t>
      </w:r>
      <w:r w:rsidRPr="00C564F2">
        <w:rPr>
          <w:lang w:val="en-ID"/>
        </w:rPr>
        <w:t xml:space="preserve">, </w:t>
      </w:r>
      <w:r w:rsidRPr="00C564F2">
        <w:rPr>
          <w:i/>
          <w:iCs/>
          <w:lang w:val="en-ID"/>
        </w:rPr>
        <w:t>4</w:t>
      </w:r>
      <w:r w:rsidRPr="00C564F2">
        <w:rPr>
          <w:lang w:val="en-ID"/>
        </w:rPr>
        <w:t>, 293–315.</w:t>
      </w:r>
    </w:p>
    <w:p w14:paraId="40470C62" w14:textId="77777777" w:rsidR="00AE0010" w:rsidRPr="00C564F2" w:rsidRDefault="00AE0010" w:rsidP="00AE0010">
      <w:pPr>
        <w:widowControl w:val="0"/>
        <w:autoSpaceDE w:val="0"/>
        <w:autoSpaceDN w:val="0"/>
        <w:adjustRightInd w:val="0"/>
        <w:ind w:left="480" w:hanging="480"/>
        <w:jc w:val="both"/>
        <w:rPr>
          <w:lang w:val="en-ID"/>
        </w:rPr>
      </w:pPr>
      <w:r w:rsidRPr="00C564F2">
        <w:rPr>
          <w:lang w:val="en-ID"/>
        </w:rPr>
        <w:t xml:space="preserve">Isaev, M., &amp; Masih, M. (2017). Macroeconomic and bank-specific determinants of different categories of non-performing financing in Islamic </w:t>
      </w:r>
      <w:proofErr w:type="gramStart"/>
      <w:r w:rsidRPr="00C564F2">
        <w:rPr>
          <w:lang w:val="en-ID"/>
        </w:rPr>
        <w:t>banks :</w:t>
      </w:r>
      <w:proofErr w:type="gramEnd"/>
      <w:r w:rsidRPr="00C564F2">
        <w:rPr>
          <w:lang w:val="en-ID"/>
        </w:rPr>
        <w:t xml:space="preserve"> Evidence from Malaysia. </w:t>
      </w:r>
      <w:r w:rsidRPr="00C564F2">
        <w:rPr>
          <w:i/>
          <w:iCs/>
          <w:lang w:val="en-ID"/>
        </w:rPr>
        <w:t xml:space="preserve">Munich Personal </w:t>
      </w:r>
      <w:proofErr w:type="spellStart"/>
      <w:r w:rsidRPr="00C564F2">
        <w:rPr>
          <w:i/>
          <w:iCs/>
          <w:lang w:val="en-ID"/>
        </w:rPr>
        <w:t>RePEc</w:t>
      </w:r>
      <w:proofErr w:type="spellEnd"/>
      <w:r w:rsidRPr="00C564F2">
        <w:rPr>
          <w:i/>
          <w:iCs/>
          <w:lang w:val="en-ID"/>
        </w:rPr>
        <w:t xml:space="preserve"> Archive</w:t>
      </w:r>
      <w:r w:rsidRPr="00C564F2">
        <w:rPr>
          <w:lang w:val="en-ID"/>
        </w:rPr>
        <w:t xml:space="preserve">, </w:t>
      </w:r>
      <w:r w:rsidRPr="00C564F2">
        <w:rPr>
          <w:i/>
          <w:iCs/>
          <w:lang w:val="en-ID"/>
        </w:rPr>
        <w:t>79719</w:t>
      </w:r>
      <w:r w:rsidRPr="00C564F2">
        <w:rPr>
          <w:lang w:val="en-ID"/>
        </w:rPr>
        <w:t>.</w:t>
      </w:r>
    </w:p>
    <w:p w14:paraId="00B2D8A2" w14:textId="77777777" w:rsidR="00AE0010" w:rsidRPr="00C564F2" w:rsidRDefault="00AE0010" w:rsidP="00AE0010">
      <w:pPr>
        <w:widowControl w:val="0"/>
        <w:autoSpaceDE w:val="0"/>
        <w:autoSpaceDN w:val="0"/>
        <w:adjustRightInd w:val="0"/>
        <w:ind w:left="480" w:hanging="480"/>
        <w:jc w:val="both"/>
        <w:rPr>
          <w:lang w:val="en-ID"/>
        </w:rPr>
      </w:pPr>
      <w:r w:rsidRPr="00C564F2">
        <w:rPr>
          <w:lang w:val="en-ID"/>
        </w:rPr>
        <w:t xml:space="preserve">Kabir, M. N., Worthington, A., &amp; Gupta, R. (2015). Comparative Credit Risk in Islamic and Conventional Bank. </w:t>
      </w:r>
      <w:r w:rsidRPr="00C564F2">
        <w:rPr>
          <w:i/>
          <w:iCs/>
          <w:lang w:val="en-ID"/>
        </w:rPr>
        <w:t>Pacific Basin Finance Journal</w:t>
      </w:r>
      <w:r w:rsidRPr="00C564F2">
        <w:rPr>
          <w:lang w:val="en-ID"/>
        </w:rPr>
        <w:t xml:space="preserve">, </w:t>
      </w:r>
      <w:r w:rsidRPr="00C564F2">
        <w:rPr>
          <w:i/>
          <w:iCs/>
          <w:lang w:val="en-ID"/>
        </w:rPr>
        <w:t>34</w:t>
      </w:r>
      <w:r w:rsidRPr="00C564F2">
        <w:rPr>
          <w:lang w:val="en-ID"/>
        </w:rPr>
        <w:t>, 327–353. https://doi.org/https://doi.org/10.1016/j.pacfin.2015.06.001</w:t>
      </w:r>
    </w:p>
    <w:p w14:paraId="682D67D6" w14:textId="77777777" w:rsidR="00AE0010" w:rsidRPr="00C564F2" w:rsidRDefault="00AE0010" w:rsidP="00AE0010">
      <w:pPr>
        <w:widowControl w:val="0"/>
        <w:autoSpaceDE w:val="0"/>
        <w:autoSpaceDN w:val="0"/>
        <w:adjustRightInd w:val="0"/>
        <w:ind w:left="480" w:hanging="480"/>
        <w:jc w:val="both"/>
        <w:rPr>
          <w:lang w:val="en-ID"/>
        </w:rPr>
      </w:pPr>
      <w:proofErr w:type="spellStart"/>
      <w:r w:rsidRPr="00C564F2">
        <w:rPr>
          <w:lang w:val="en-ID"/>
        </w:rPr>
        <w:t>Keuangan</w:t>
      </w:r>
      <w:proofErr w:type="spellEnd"/>
      <w:r w:rsidRPr="00C564F2">
        <w:rPr>
          <w:lang w:val="en-ID"/>
        </w:rPr>
        <w:t xml:space="preserve">, O. J. (2020). </w:t>
      </w:r>
      <w:proofErr w:type="spellStart"/>
      <w:r w:rsidRPr="00C564F2">
        <w:rPr>
          <w:i/>
          <w:iCs/>
          <w:lang w:val="en-ID"/>
        </w:rPr>
        <w:t>Statistik</w:t>
      </w:r>
      <w:proofErr w:type="spellEnd"/>
      <w:r w:rsidRPr="00C564F2">
        <w:rPr>
          <w:i/>
          <w:iCs/>
          <w:lang w:val="en-ID"/>
        </w:rPr>
        <w:t xml:space="preserve"> </w:t>
      </w:r>
      <w:proofErr w:type="spellStart"/>
      <w:r w:rsidRPr="00C564F2">
        <w:rPr>
          <w:i/>
          <w:iCs/>
          <w:lang w:val="en-ID"/>
        </w:rPr>
        <w:t>Perbankan</w:t>
      </w:r>
      <w:proofErr w:type="spellEnd"/>
      <w:r w:rsidRPr="00C564F2">
        <w:rPr>
          <w:i/>
          <w:iCs/>
          <w:lang w:val="en-ID"/>
        </w:rPr>
        <w:t xml:space="preserve"> Syariah</w:t>
      </w:r>
      <w:r w:rsidRPr="00C564F2">
        <w:rPr>
          <w:lang w:val="en-ID"/>
        </w:rPr>
        <w:t>.</w:t>
      </w:r>
    </w:p>
    <w:p w14:paraId="30F5644C" w14:textId="77777777" w:rsidR="00AE0010" w:rsidRPr="00C564F2" w:rsidRDefault="00AE0010" w:rsidP="00AE0010">
      <w:pPr>
        <w:widowControl w:val="0"/>
        <w:autoSpaceDE w:val="0"/>
        <w:autoSpaceDN w:val="0"/>
        <w:adjustRightInd w:val="0"/>
        <w:ind w:left="480" w:hanging="480"/>
        <w:jc w:val="both"/>
        <w:rPr>
          <w:lang w:val="en-ID"/>
        </w:rPr>
      </w:pPr>
      <w:proofErr w:type="spellStart"/>
      <w:r w:rsidRPr="00C564F2">
        <w:rPr>
          <w:lang w:val="en-ID"/>
        </w:rPr>
        <w:t>Kjosevski</w:t>
      </w:r>
      <w:proofErr w:type="spellEnd"/>
      <w:r w:rsidRPr="00C564F2">
        <w:rPr>
          <w:lang w:val="en-ID"/>
        </w:rPr>
        <w:t xml:space="preserve">, J., </w:t>
      </w:r>
      <w:proofErr w:type="spellStart"/>
      <w:r w:rsidRPr="00C564F2">
        <w:rPr>
          <w:lang w:val="en-ID"/>
        </w:rPr>
        <w:t>Petkovski</w:t>
      </w:r>
      <w:proofErr w:type="spellEnd"/>
      <w:r w:rsidRPr="00C564F2">
        <w:rPr>
          <w:lang w:val="en-ID"/>
        </w:rPr>
        <w:t xml:space="preserve">, M., &amp; </w:t>
      </w:r>
      <w:proofErr w:type="spellStart"/>
      <w:r w:rsidRPr="00C564F2">
        <w:rPr>
          <w:lang w:val="en-ID"/>
        </w:rPr>
        <w:t>Naumovska</w:t>
      </w:r>
      <w:proofErr w:type="spellEnd"/>
      <w:r w:rsidRPr="00C564F2">
        <w:rPr>
          <w:lang w:val="en-ID"/>
        </w:rPr>
        <w:t xml:space="preserve">, E. (2019). Bank-specific and macroeconomic determinants of non-performing loans in the Republic of </w:t>
      </w:r>
      <w:proofErr w:type="gramStart"/>
      <w:r w:rsidRPr="00C564F2">
        <w:rPr>
          <w:lang w:val="en-ID"/>
        </w:rPr>
        <w:t>Macedonia :</w:t>
      </w:r>
      <w:proofErr w:type="gramEnd"/>
      <w:r w:rsidRPr="00C564F2">
        <w:rPr>
          <w:lang w:val="en-ID"/>
        </w:rPr>
        <w:t xml:space="preserve"> Comparative analysis of enterprise and household NPLs. </w:t>
      </w:r>
      <w:r w:rsidRPr="00C564F2">
        <w:rPr>
          <w:i/>
          <w:iCs/>
          <w:lang w:val="en-ID"/>
        </w:rPr>
        <w:t>Economic Research-</w:t>
      </w:r>
      <w:proofErr w:type="spellStart"/>
      <w:r w:rsidRPr="00C564F2">
        <w:rPr>
          <w:i/>
          <w:iCs/>
          <w:lang w:val="en-ID"/>
        </w:rPr>
        <w:t>Ekonomska</w:t>
      </w:r>
      <w:proofErr w:type="spellEnd"/>
      <w:r w:rsidRPr="00C564F2">
        <w:rPr>
          <w:i/>
          <w:iCs/>
          <w:lang w:val="en-ID"/>
        </w:rPr>
        <w:t xml:space="preserve"> IstraÅ¾ivanja</w:t>
      </w:r>
      <w:r w:rsidRPr="00C564F2">
        <w:rPr>
          <w:lang w:val="en-ID"/>
        </w:rPr>
        <w:t xml:space="preserve">, </w:t>
      </w:r>
      <w:r w:rsidRPr="00C564F2">
        <w:rPr>
          <w:i/>
          <w:iCs/>
          <w:lang w:val="en-ID"/>
        </w:rPr>
        <w:t>32</w:t>
      </w:r>
      <w:r w:rsidRPr="00C564F2">
        <w:rPr>
          <w:lang w:val="en-ID"/>
        </w:rPr>
        <w:t>(1), 1185–1203. https://doi.org/10.1080/1331677X.2019.1627894</w:t>
      </w:r>
    </w:p>
    <w:p w14:paraId="51157799" w14:textId="77777777" w:rsidR="00AE0010" w:rsidRPr="00C564F2" w:rsidRDefault="00AE0010" w:rsidP="00AE0010">
      <w:pPr>
        <w:widowControl w:val="0"/>
        <w:autoSpaceDE w:val="0"/>
        <w:autoSpaceDN w:val="0"/>
        <w:adjustRightInd w:val="0"/>
        <w:ind w:left="480" w:hanging="480"/>
        <w:jc w:val="both"/>
        <w:rPr>
          <w:lang w:val="en-ID"/>
        </w:rPr>
      </w:pPr>
      <w:proofErr w:type="spellStart"/>
      <w:r w:rsidRPr="00C564F2">
        <w:rPr>
          <w:lang w:val="en-ID"/>
        </w:rPr>
        <w:t>Kuzucu</w:t>
      </w:r>
      <w:proofErr w:type="spellEnd"/>
      <w:r w:rsidRPr="00C564F2">
        <w:rPr>
          <w:lang w:val="en-ID"/>
        </w:rPr>
        <w:t xml:space="preserve">, N., </w:t>
      </w:r>
      <w:proofErr w:type="spellStart"/>
      <w:r w:rsidRPr="00C564F2">
        <w:rPr>
          <w:lang w:val="en-ID"/>
        </w:rPr>
        <w:t>Kuzucu</w:t>
      </w:r>
      <w:proofErr w:type="spellEnd"/>
      <w:r w:rsidRPr="00C564F2">
        <w:rPr>
          <w:lang w:val="en-ID"/>
        </w:rPr>
        <w:t xml:space="preserve">, S., &amp; </w:t>
      </w:r>
      <w:proofErr w:type="spellStart"/>
      <w:r w:rsidRPr="00C564F2">
        <w:rPr>
          <w:lang w:val="en-ID"/>
        </w:rPr>
        <w:t>Kuzucu</w:t>
      </w:r>
      <w:proofErr w:type="spellEnd"/>
      <w:r w:rsidRPr="00C564F2">
        <w:rPr>
          <w:lang w:val="en-ID"/>
        </w:rPr>
        <w:t xml:space="preserve">, N. (2019). What Drives Non-Performing </w:t>
      </w:r>
      <w:proofErr w:type="gramStart"/>
      <w:r w:rsidRPr="00C564F2">
        <w:rPr>
          <w:lang w:val="en-ID"/>
        </w:rPr>
        <w:t>Loans ?</w:t>
      </w:r>
      <w:proofErr w:type="gramEnd"/>
      <w:r w:rsidRPr="00C564F2">
        <w:rPr>
          <w:lang w:val="en-ID"/>
        </w:rPr>
        <w:t xml:space="preserve"> Evidence from Emerging and Advanced Economies during Pre- and Post-Global Financial Crisis What Drives Non-Performing </w:t>
      </w:r>
      <w:proofErr w:type="gramStart"/>
      <w:r w:rsidRPr="00C564F2">
        <w:rPr>
          <w:lang w:val="en-ID"/>
        </w:rPr>
        <w:t>Loans ?</w:t>
      </w:r>
      <w:proofErr w:type="gramEnd"/>
      <w:r w:rsidRPr="00C564F2">
        <w:rPr>
          <w:lang w:val="en-ID"/>
        </w:rPr>
        <w:t xml:space="preserve"> Evidence from Emerging and Advanced Economies during Pre- and Post-Global Financial Crisis. </w:t>
      </w:r>
      <w:r w:rsidRPr="00C564F2">
        <w:rPr>
          <w:i/>
          <w:iCs/>
          <w:lang w:val="en-ID"/>
        </w:rPr>
        <w:t>Emerging Markets Finance and Trade</w:t>
      </w:r>
      <w:r w:rsidRPr="00C564F2">
        <w:rPr>
          <w:lang w:val="en-ID"/>
        </w:rPr>
        <w:t xml:space="preserve">, </w:t>
      </w:r>
      <w:r w:rsidRPr="00C564F2">
        <w:rPr>
          <w:i/>
          <w:iCs/>
          <w:lang w:val="en-ID"/>
        </w:rPr>
        <w:t>00</w:t>
      </w:r>
      <w:r w:rsidRPr="00C564F2">
        <w:rPr>
          <w:lang w:val="en-ID"/>
        </w:rPr>
        <w:t>(00), 1–15. https://doi.org/10.1080/1540496X.2018.1547877</w:t>
      </w:r>
    </w:p>
    <w:p w14:paraId="3F9A0711" w14:textId="77777777" w:rsidR="00AE0010" w:rsidRPr="00C564F2" w:rsidRDefault="00AE0010" w:rsidP="00AE0010">
      <w:pPr>
        <w:widowControl w:val="0"/>
        <w:autoSpaceDE w:val="0"/>
        <w:autoSpaceDN w:val="0"/>
        <w:adjustRightInd w:val="0"/>
        <w:ind w:left="480" w:hanging="480"/>
        <w:jc w:val="both"/>
        <w:rPr>
          <w:lang w:val="en-ID"/>
        </w:rPr>
      </w:pPr>
      <w:proofErr w:type="spellStart"/>
      <w:r w:rsidRPr="00C564F2">
        <w:rPr>
          <w:lang w:val="en-ID"/>
        </w:rPr>
        <w:t>Louzis</w:t>
      </w:r>
      <w:proofErr w:type="spellEnd"/>
      <w:r w:rsidRPr="00C564F2">
        <w:rPr>
          <w:lang w:val="en-ID"/>
        </w:rPr>
        <w:t xml:space="preserve">, D. P., </w:t>
      </w:r>
      <w:proofErr w:type="spellStart"/>
      <w:r w:rsidRPr="00C564F2">
        <w:rPr>
          <w:lang w:val="en-ID"/>
        </w:rPr>
        <w:t>Vouldis</w:t>
      </w:r>
      <w:proofErr w:type="spellEnd"/>
      <w:r w:rsidRPr="00C564F2">
        <w:rPr>
          <w:lang w:val="en-ID"/>
        </w:rPr>
        <w:t xml:space="preserve">, A. T., &amp; Metaxas, V. L. (2012). </w:t>
      </w:r>
      <w:r w:rsidRPr="00C564F2">
        <w:rPr>
          <w:i/>
          <w:iCs/>
          <w:lang w:val="en-ID"/>
        </w:rPr>
        <w:t xml:space="preserve">Macroeconomic and bank-specific determinants of non-performing loans in </w:t>
      </w:r>
      <w:proofErr w:type="gramStart"/>
      <w:r w:rsidRPr="00C564F2">
        <w:rPr>
          <w:i/>
          <w:iCs/>
          <w:lang w:val="en-ID"/>
        </w:rPr>
        <w:t>Greece :</w:t>
      </w:r>
      <w:proofErr w:type="gramEnd"/>
      <w:r w:rsidRPr="00C564F2">
        <w:rPr>
          <w:i/>
          <w:iCs/>
          <w:lang w:val="en-ID"/>
        </w:rPr>
        <w:t xml:space="preserve"> A comparative study of mortgage , business and consumer loan portfolios</w:t>
      </w:r>
      <w:r w:rsidRPr="00C564F2">
        <w:rPr>
          <w:lang w:val="en-ID"/>
        </w:rPr>
        <w:t xml:space="preserve">. </w:t>
      </w:r>
      <w:r w:rsidRPr="00C564F2">
        <w:rPr>
          <w:i/>
          <w:iCs/>
          <w:lang w:val="en-ID"/>
        </w:rPr>
        <w:t>36</w:t>
      </w:r>
      <w:r w:rsidRPr="00C564F2">
        <w:rPr>
          <w:lang w:val="en-ID"/>
        </w:rPr>
        <w:t>, 1012–1027. https://doi.org/10.1016/j.jbankfin.2011.10.012</w:t>
      </w:r>
    </w:p>
    <w:p w14:paraId="130DF2E4" w14:textId="77777777" w:rsidR="00AE0010" w:rsidRPr="00C564F2" w:rsidRDefault="00AE0010" w:rsidP="00AE0010">
      <w:pPr>
        <w:widowControl w:val="0"/>
        <w:autoSpaceDE w:val="0"/>
        <w:autoSpaceDN w:val="0"/>
        <w:adjustRightInd w:val="0"/>
        <w:ind w:left="480" w:hanging="480"/>
        <w:jc w:val="both"/>
        <w:rPr>
          <w:lang w:val="en-ID"/>
        </w:rPr>
      </w:pPr>
      <w:r w:rsidRPr="00C564F2">
        <w:rPr>
          <w:lang w:val="en-ID"/>
        </w:rPr>
        <w:t xml:space="preserve">Mirzaei, A., Moore, T., &amp; Liu, G. (2013). Does market structure matter on banks’ profitability and stability? Emerging vs. advanced economies. </w:t>
      </w:r>
      <w:r w:rsidRPr="00C564F2">
        <w:rPr>
          <w:i/>
          <w:iCs/>
          <w:lang w:val="en-ID"/>
        </w:rPr>
        <w:t>Journal of Banking and Finance</w:t>
      </w:r>
      <w:r w:rsidRPr="00C564F2">
        <w:rPr>
          <w:lang w:val="en-ID"/>
        </w:rPr>
        <w:t xml:space="preserve">, </w:t>
      </w:r>
      <w:r w:rsidRPr="00C564F2">
        <w:rPr>
          <w:i/>
          <w:iCs/>
          <w:lang w:val="en-ID"/>
        </w:rPr>
        <w:t>37</w:t>
      </w:r>
      <w:r w:rsidRPr="00C564F2">
        <w:rPr>
          <w:lang w:val="en-ID"/>
        </w:rPr>
        <w:t>(8), 2920–2937.</w:t>
      </w:r>
    </w:p>
    <w:p w14:paraId="192BD4E5" w14:textId="77777777" w:rsidR="00AE0010" w:rsidRPr="00C564F2" w:rsidRDefault="00AE0010" w:rsidP="00AE0010">
      <w:pPr>
        <w:widowControl w:val="0"/>
        <w:autoSpaceDE w:val="0"/>
        <w:autoSpaceDN w:val="0"/>
        <w:adjustRightInd w:val="0"/>
        <w:ind w:left="480" w:hanging="480"/>
        <w:jc w:val="both"/>
        <w:rPr>
          <w:lang w:val="en-ID"/>
        </w:rPr>
      </w:pPr>
      <w:r w:rsidRPr="00C564F2">
        <w:rPr>
          <w:lang w:val="en-ID"/>
        </w:rPr>
        <w:t xml:space="preserve">Prasanna, P. K., </w:t>
      </w:r>
      <w:proofErr w:type="spellStart"/>
      <w:r w:rsidRPr="00C564F2">
        <w:rPr>
          <w:lang w:val="en-ID"/>
        </w:rPr>
        <w:t>Thenmozhi</w:t>
      </w:r>
      <w:proofErr w:type="spellEnd"/>
      <w:r w:rsidRPr="00C564F2">
        <w:rPr>
          <w:lang w:val="en-ID"/>
        </w:rPr>
        <w:t xml:space="preserve">, M., &amp; </w:t>
      </w:r>
      <w:proofErr w:type="spellStart"/>
      <w:r w:rsidRPr="00C564F2">
        <w:rPr>
          <w:lang w:val="en-ID"/>
        </w:rPr>
        <w:t>Nimit</w:t>
      </w:r>
      <w:proofErr w:type="spellEnd"/>
      <w:r w:rsidRPr="00C564F2">
        <w:rPr>
          <w:lang w:val="en-ID"/>
        </w:rPr>
        <w:t xml:space="preserve">, R. (2014). Determinants of non-performing advances in Indian banking system. </w:t>
      </w:r>
      <w:r w:rsidRPr="00C564F2">
        <w:rPr>
          <w:i/>
          <w:iCs/>
          <w:lang w:val="en-ID"/>
        </w:rPr>
        <w:t>Banks and Bank Systems</w:t>
      </w:r>
      <w:r w:rsidRPr="00C564F2">
        <w:rPr>
          <w:lang w:val="en-ID"/>
        </w:rPr>
        <w:t xml:space="preserve">, </w:t>
      </w:r>
      <w:r w:rsidRPr="00C564F2">
        <w:rPr>
          <w:i/>
          <w:iCs/>
          <w:lang w:val="en-ID"/>
        </w:rPr>
        <w:t>9</w:t>
      </w:r>
      <w:r w:rsidRPr="00C564F2">
        <w:rPr>
          <w:lang w:val="en-ID"/>
        </w:rPr>
        <w:t>(2), 65–77.</w:t>
      </w:r>
    </w:p>
    <w:p w14:paraId="41931448" w14:textId="77777777" w:rsidR="00AE0010" w:rsidRPr="00C564F2" w:rsidRDefault="00AE0010" w:rsidP="00AE0010">
      <w:pPr>
        <w:widowControl w:val="0"/>
        <w:autoSpaceDE w:val="0"/>
        <w:autoSpaceDN w:val="0"/>
        <w:adjustRightInd w:val="0"/>
        <w:ind w:left="480" w:hanging="480"/>
        <w:jc w:val="both"/>
        <w:rPr>
          <w:lang w:val="en-ID"/>
        </w:rPr>
      </w:pPr>
      <w:proofErr w:type="spellStart"/>
      <w:r w:rsidRPr="00C564F2">
        <w:rPr>
          <w:lang w:val="en-ID"/>
        </w:rPr>
        <w:t>R.</w:t>
      </w:r>
      <w:proofErr w:type="gramStart"/>
      <w:r w:rsidRPr="00C564F2">
        <w:rPr>
          <w:lang w:val="en-ID"/>
        </w:rPr>
        <w:t>D.Kadir</w:t>
      </w:r>
      <w:proofErr w:type="spellEnd"/>
      <w:proofErr w:type="gramEnd"/>
      <w:r w:rsidRPr="00C564F2">
        <w:rPr>
          <w:lang w:val="en-ID"/>
        </w:rPr>
        <w:t xml:space="preserve">. (2019). </w:t>
      </w:r>
      <w:proofErr w:type="spellStart"/>
      <w:r w:rsidRPr="00C564F2">
        <w:rPr>
          <w:lang w:val="en-ID"/>
        </w:rPr>
        <w:t>Estimasi</w:t>
      </w:r>
      <w:proofErr w:type="spellEnd"/>
      <w:r w:rsidRPr="00C564F2">
        <w:rPr>
          <w:lang w:val="en-ID"/>
        </w:rPr>
        <w:t xml:space="preserve"> </w:t>
      </w:r>
      <w:proofErr w:type="spellStart"/>
      <w:r w:rsidRPr="00C564F2">
        <w:rPr>
          <w:lang w:val="en-ID"/>
        </w:rPr>
        <w:t>Janga</w:t>
      </w:r>
      <w:proofErr w:type="spellEnd"/>
      <w:r w:rsidRPr="00C564F2">
        <w:rPr>
          <w:lang w:val="en-ID"/>
        </w:rPr>
        <w:t xml:space="preserve"> </w:t>
      </w:r>
      <w:proofErr w:type="spellStart"/>
      <w:r w:rsidRPr="00C564F2">
        <w:rPr>
          <w:lang w:val="en-ID"/>
        </w:rPr>
        <w:t>Pendek</w:t>
      </w:r>
      <w:proofErr w:type="spellEnd"/>
      <w:r w:rsidRPr="00C564F2">
        <w:rPr>
          <w:lang w:val="en-ID"/>
        </w:rPr>
        <w:t xml:space="preserve"> dan </w:t>
      </w:r>
      <w:proofErr w:type="spellStart"/>
      <w:r w:rsidRPr="00C564F2">
        <w:rPr>
          <w:lang w:val="en-ID"/>
        </w:rPr>
        <w:t>Jangka</w:t>
      </w:r>
      <w:proofErr w:type="spellEnd"/>
      <w:r w:rsidRPr="00C564F2">
        <w:rPr>
          <w:lang w:val="en-ID"/>
        </w:rPr>
        <w:t xml:space="preserve"> Panjang </w:t>
      </w:r>
      <w:proofErr w:type="spellStart"/>
      <w:r w:rsidRPr="00C564F2">
        <w:rPr>
          <w:lang w:val="en-ID"/>
        </w:rPr>
        <w:t>Risiko</w:t>
      </w:r>
      <w:proofErr w:type="spellEnd"/>
      <w:r w:rsidRPr="00C564F2">
        <w:rPr>
          <w:lang w:val="en-ID"/>
        </w:rPr>
        <w:t xml:space="preserve"> </w:t>
      </w:r>
      <w:proofErr w:type="spellStart"/>
      <w:r w:rsidRPr="00C564F2">
        <w:rPr>
          <w:lang w:val="en-ID"/>
        </w:rPr>
        <w:t>Pembiayaan</w:t>
      </w:r>
      <w:proofErr w:type="spellEnd"/>
      <w:r w:rsidRPr="00C564F2">
        <w:rPr>
          <w:lang w:val="en-ID"/>
        </w:rPr>
        <w:t xml:space="preserve"> </w:t>
      </w:r>
      <w:r w:rsidRPr="00C564F2">
        <w:rPr>
          <w:lang w:val="en-ID"/>
        </w:rPr>
        <w:lastRenderedPageBreak/>
        <w:t xml:space="preserve">BPRS di Indonesia. </w:t>
      </w:r>
      <w:proofErr w:type="spellStart"/>
      <w:r w:rsidRPr="00C564F2">
        <w:rPr>
          <w:i/>
          <w:iCs/>
          <w:lang w:val="en-ID"/>
        </w:rPr>
        <w:t>Jurnal</w:t>
      </w:r>
      <w:proofErr w:type="spellEnd"/>
      <w:r w:rsidRPr="00C564F2">
        <w:rPr>
          <w:i/>
          <w:iCs/>
          <w:lang w:val="en-ID"/>
        </w:rPr>
        <w:t xml:space="preserve"> </w:t>
      </w:r>
      <w:proofErr w:type="spellStart"/>
      <w:r w:rsidRPr="00C564F2">
        <w:rPr>
          <w:i/>
          <w:iCs/>
          <w:lang w:val="en-ID"/>
        </w:rPr>
        <w:t>Nisbah</w:t>
      </w:r>
      <w:proofErr w:type="spellEnd"/>
      <w:r w:rsidRPr="00C564F2">
        <w:rPr>
          <w:lang w:val="en-ID"/>
        </w:rPr>
        <w:t xml:space="preserve">, </w:t>
      </w:r>
      <w:r w:rsidRPr="00C564F2">
        <w:rPr>
          <w:i/>
          <w:iCs/>
          <w:lang w:val="en-ID"/>
        </w:rPr>
        <w:t>05</w:t>
      </w:r>
      <w:r w:rsidRPr="00C564F2">
        <w:rPr>
          <w:lang w:val="en-ID"/>
        </w:rPr>
        <w:t>(02), 100–105. https://ojs.unida.ac.id/JN/article/view/2166/pdf</w:t>
      </w:r>
    </w:p>
    <w:p w14:paraId="427DE5BF" w14:textId="77777777" w:rsidR="00AE0010" w:rsidRPr="00C564F2" w:rsidRDefault="00AE0010" w:rsidP="00AE0010">
      <w:pPr>
        <w:widowControl w:val="0"/>
        <w:autoSpaceDE w:val="0"/>
        <w:autoSpaceDN w:val="0"/>
        <w:adjustRightInd w:val="0"/>
        <w:ind w:left="480" w:hanging="480"/>
        <w:jc w:val="both"/>
        <w:rPr>
          <w:lang w:val="en-ID"/>
        </w:rPr>
      </w:pPr>
      <w:proofErr w:type="spellStart"/>
      <w:r w:rsidRPr="00C564F2">
        <w:rPr>
          <w:lang w:val="en-ID"/>
        </w:rPr>
        <w:t>Rahmah</w:t>
      </w:r>
      <w:proofErr w:type="spellEnd"/>
      <w:r w:rsidRPr="00C564F2">
        <w:rPr>
          <w:lang w:val="en-ID"/>
        </w:rPr>
        <w:t xml:space="preserve">, A. Z., &amp; Armina, S. H. (2020). Macro and micro determinants of the non-performing finance: The case of Indonesian Islamic bank. </w:t>
      </w:r>
      <w:proofErr w:type="spellStart"/>
      <w:r w:rsidRPr="00C564F2">
        <w:rPr>
          <w:i/>
          <w:iCs/>
          <w:lang w:val="en-ID"/>
        </w:rPr>
        <w:t>Jurnal</w:t>
      </w:r>
      <w:proofErr w:type="spellEnd"/>
      <w:r w:rsidRPr="00C564F2">
        <w:rPr>
          <w:i/>
          <w:iCs/>
          <w:lang w:val="en-ID"/>
        </w:rPr>
        <w:t xml:space="preserve"> </w:t>
      </w:r>
      <w:proofErr w:type="spellStart"/>
      <w:r w:rsidRPr="00C564F2">
        <w:rPr>
          <w:i/>
          <w:iCs/>
          <w:lang w:val="en-ID"/>
        </w:rPr>
        <w:t>Ekonomi</w:t>
      </w:r>
      <w:proofErr w:type="spellEnd"/>
      <w:r w:rsidRPr="00C564F2">
        <w:rPr>
          <w:i/>
          <w:iCs/>
          <w:lang w:val="en-ID"/>
        </w:rPr>
        <w:t xml:space="preserve"> &amp; </w:t>
      </w:r>
      <w:proofErr w:type="spellStart"/>
      <w:r w:rsidRPr="00C564F2">
        <w:rPr>
          <w:i/>
          <w:iCs/>
          <w:lang w:val="en-ID"/>
        </w:rPr>
        <w:t>Keuangan</w:t>
      </w:r>
      <w:proofErr w:type="spellEnd"/>
      <w:r w:rsidRPr="00C564F2">
        <w:rPr>
          <w:i/>
          <w:iCs/>
          <w:lang w:val="en-ID"/>
        </w:rPr>
        <w:t xml:space="preserve"> Islam</w:t>
      </w:r>
      <w:r w:rsidRPr="00C564F2">
        <w:rPr>
          <w:lang w:val="en-ID"/>
        </w:rPr>
        <w:t xml:space="preserve">, </w:t>
      </w:r>
      <w:r w:rsidRPr="00C564F2">
        <w:rPr>
          <w:i/>
          <w:iCs/>
          <w:lang w:val="en-ID"/>
        </w:rPr>
        <w:t>6</w:t>
      </w:r>
      <w:r w:rsidRPr="00C564F2">
        <w:rPr>
          <w:lang w:val="en-ID"/>
        </w:rPr>
        <w:t>(1), 34–41. https://doi.org/10.20885/JEKI.vol6.iss1.art4</w:t>
      </w:r>
    </w:p>
    <w:p w14:paraId="72E3B730" w14:textId="77777777" w:rsidR="00AE0010" w:rsidRPr="00C564F2" w:rsidRDefault="00AE0010" w:rsidP="00AE0010">
      <w:pPr>
        <w:widowControl w:val="0"/>
        <w:autoSpaceDE w:val="0"/>
        <w:autoSpaceDN w:val="0"/>
        <w:adjustRightInd w:val="0"/>
        <w:ind w:left="480" w:hanging="480"/>
        <w:jc w:val="both"/>
        <w:rPr>
          <w:lang w:val="en-ID"/>
        </w:rPr>
      </w:pPr>
      <w:r w:rsidRPr="00C564F2">
        <w:rPr>
          <w:lang w:val="en-ID"/>
        </w:rPr>
        <w:t xml:space="preserve">Rizvi, N. U., </w:t>
      </w:r>
      <w:proofErr w:type="spellStart"/>
      <w:r w:rsidRPr="00C564F2">
        <w:rPr>
          <w:lang w:val="en-ID"/>
        </w:rPr>
        <w:t>Kashiramka</w:t>
      </w:r>
      <w:proofErr w:type="spellEnd"/>
      <w:r w:rsidRPr="00C564F2">
        <w:rPr>
          <w:lang w:val="en-ID"/>
        </w:rPr>
        <w:t xml:space="preserve">, S., &amp; Singh, S. (2019). A hierarchical model of the determinants of non- performing assets in </w:t>
      </w:r>
      <w:proofErr w:type="gramStart"/>
      <w:r w:rsidRPr="00C564F2">
        <w:rPr>
          <w:lang w:val="en-ID"/>
        </w:rPr>
        <w:t>banks :</w:t>
      </w:r>
      <w:proofErr w:type="gramEnd"/>
      <w:r w:rsidRPr="00C564F2">
        <w:rPr>
          <w:lang w:val="en-ID"/>
        </w:rPr>
        <w:t xml:space="preserve"> an ISM and MICMAC approach. </w:t>
      </w:r>
      <w:r w:rsidRPr="00C564F2">
        <w:rPr>
          <w:i/>
          <w:iCs/>
          <w:lang w:val="en-ID"/>
        </w:rPr>
        <w:t>Applied Economics</w:t>
      </w:r>
      <w:r w:rsidRPr="00C564F2">
        <w:rPr>
          <w:lang w:val="en-ID"/>
        </w:rPr>
        <w:t xml:space="preserve">, </w:t>
      </w:r>
      <w:r w:rsidRPr="00C564F2">
        <w:rPr>
          <w:i/>
          <w:iCs/>
          <w:lang w:val="en-ID"/>
        </w:rPr>
        <w:t>0</w:t>
      </w:r>
      <w:r w:rsidRPr="00C564F2">
        <w:rPr>
          <w:lang w:val="en-ID"/>
        </w:rPr>
        <w:t>(0), 1–21. https://doi.org/10.1080/00036846.2019.1584377</w:t>
      </w:r>
    </w:p>
    <w:p w14:paraId="24F78E5F" w14:textId="77777777" w:rsidR="00AE0010" w:rsidRPr="00C564F2" w:rsidRDefault="00AE0010" w:rsidP="00AE0010">
      <w:pPr>
        <w:widowControl w:val="0"/>
        <w:autoSpaceDE w:val="0"/>
        <w:autoSpaceDN w:val="0"/>
        <w:adjustRightInd w:val="0"/>
        <w:ind w:left="480" w:hanging="480"/>
        <w:jc w:val="both"/>
        <w:rPr>
          <w:lang w:val="en-ID"/>
        </w:rPr>
      </w:pPr>
      <w:proofErr w:type="spellStart"/>
      <w:r w:rsidRPr="00C564F2">
        <w:rPr>
          <w:lang w:val="en-ID"/>
        </w:rPr>
        <w:t>Solihatun</w:t>
      </w:r>
      <w:proofErr w:type="spellEnd"/>
      <w:r w:rsidRPr="00C564F2">
        <w:rPr>
          <w:lang w:val="en-ID"/>
        </w:rPr>
        <w:t xml:space="preserve">. (1994). </w:t>
      </w:r>
      <w:proofErr w:type="spellStart"/>
      <w:r w:rsidRPr="00C564F2">
        <w:rPr>
          <w:lang w:val="en-ID"/>
        </w:rPr>
        <w:t>Analisis</w:t>
      </w:r>
      <w:proofErr w:type="spellEnd"/>
      <w:r w:rsidRPr="00C564F2">
        <w:rPr>
          <w:lang w:val="en-ID"/>
        </w:rPr>
        <w:t xml:space="preserve"> </w:t>
      </w:r>
      <w:proofErr w:type="gramStart"/>
      <w:r w:rsidRPr="00C564F2">
        <w:rPr>
          <w:lang w:val="en-ID"/>
        </w:rPr>
        <w:t>Non Performing</w:t>
      </w:r>
      <w:proofErr w:type="gramEnd"/>
      <w:r w:rsidRPr="00C564F2">
        <w:rPr>
          <w:lang w:val="en-ID"/>
        </w:rPr>
        <w:t xml:space="preserve"> Financing (NPF) Bank </w:t>
      </w:r>
      <w:proofErr w:type="spellStart"/>
      <w:r w:rsidRPr="00C564F2">
        <w:rPr>
          <w:lang w:val="en-ID"/>
        </w:rPr>
        <w:t>Umum</w:t>
      </w:r>
      <w:proofErr w:type="spellEnd"/>
      <w:r w:rsidRPr="00C564F2">
        <w:rPr>
          <w:lang w:val="en-ID"/>
        </w:rPr>
        <w:t xml:space="preserve"> Syariah di Indonesia </w:t>
      </w:r>
      <w:proofErr w:type="spellStart"/>
      <w:r w:rsidRPr="00C564F2">
        <w:rPr>
          <w:lang w:val="en-ID"/>
        </w:rPr>
        <w:t>tahun</w:t>
      </w:r>
      <w:proofErr w:type="spellEnd"/>
      <w:r w:rsidRPr="00C564F2">
        <w:rPr>
          <w:lang w:val="en-ID"/>
        </w:rPr>
        <w:t xml:space="preserve"> 2007-2012. </w:t>
      </w:r>
      <w:proofErr w:type="spellStart"/>
      <w:r w:rsidRPr="00C564F2">
        <w:rPr>
          <w:i/>
          <w:iCs/>
          <w:lang w:val="en-ID"/>
        </w:rPr>
        <w:t>Junal</w:t>
      </w:r>
      <w:proofErr w:type="spellEnd"/>
      <w:r w:rsidRPr="00C564F2">
        <w:rPr>
          <w:i/>
          <w:iCs/>
          <w:lang w:val="en-ID"/>
        </w:rPr>
        <w:t xml:space="preserve"> </w:t>
      </w:r>
      <w:proofErr w:type="spellStart"/>
      <w:r w:rsidRPr="00C564F2">
        <w:rPr>
          <w:i/>
          <w:iCs/>
          <w:lang w:val="en-ID"/>
        </w:rPr>
        <w:t>Ekonomi</w:t>
      </w:r>
      <w:proofErr w:type="spellEnd"/>
      <w:r w:rsidRPr="00C564F2">
        <w:rPr>
          <w:i/>
          <w:iCs/>
          <w:lang w:val="en-ID"/>
        </w:rPr>
        <w:t xml:space="preserve"> </w:t>
      </w:r>
      <w:proofErr w:type="spellStart"/>
      <w:r w:rsidRPr="00C564F2">
        <w:rPr>
          <w:i/>
          <w:iCs/>
          <w:lang w:val="en-ID"/>
        </w:rPr>
        <w:t>Pembanangunan</w:t>
      </w:r>
      <w:proofErr w:type="spellEnd"/>
      <w:r w:rsidRPr="00C564F2">
        <w:rPr>
          <w:lang w:val="en-ID"/>
        </w:rPr>
        <w:t xml:space="preserve">, </w:t>
      </w:r>
      <w:r w:rsidRPr="00C564F2">
        <w:rPr>
          <w:i/>
          <w:iCs/>
          <w:lang w:val="en-ID"/>
        </w:rPr>
        <w:t>12</w:t>
      </w:r>
      <w:r w:rsidRPr="00C564F2">
        <w:rPr>
          <w:lang w:val="en-ID"/>
        </w:rPr>
        <w:t>(1).</w:t>
      </w:r>
    </w:p>
    <w:p w14:paraId="481D9593" w14:textId="77777777" w:rsidR="00AE0010" w:rsidRPr="00C564F2" w:rsidRDefault="00AE0010" w:rsidP="00AE0010">
      <w:pPr>
        <w:widowControl w:val="0"/>
        <w:autoSpaceDE w:val="0"/>
        <w:autoSpaceDN w:val="0"/>
        <w:adjustRightInd w:val="0"/>
        <w:ind w:left="480" w:hanging="480"/>
        <w:jc w:val="both"/>
        <w:rPr>
          <w:lang w:val="en-ID"/>
        </w:rPr>
      </w:pPr>
      <w:proofErr w:type="spellStart"/>
      <w:r w:rsidRPr="00C564F2">
        <w:rPr>
          <w:lang w:val="en-ID"/>
        </w:rPr>
        <w:t>Tanasković</w:t>
      </w:r>
      <w:proofErr w:type="spellEnd"/>
      <w:r w:rsidRPr="00C564F2">
        <w:rPr>
          <w:lang w:val="en-ID"/>
        </w:rPr>
        <w:t xml:space="preserve">, S., &amp; </w:t>
      </w:r>
      <w:proofErr w:type="spellStart"/>
      <w:r w:rsidRPr="00C564F2">
        <w:rPr>
          <w:lang w:val="en-ID"/>
        </w:rPr>
        <w:t>Jandrić</w:t>
      </w:r>
      <w:proofErr w:type="spellEnd"/>
      <w:r w:rsidRPr="00C564F2">
        <w:rPr>
          <w:lang w:val="en-ID"/>
        </w:rPr>
        <w:t xml:space="preserve">, M. (2015). Macroeconomic and Institutional Determinants of Non-performing Loans. </w:t>
      </w:r>
      <w:r w:rsidRPr="00C564F2">
        <w:rPr>
          <w:i/>
          <w:iCs/>
          <w:lang w:val="en-ID"/>
        </w:rPr>
        <w:t>Journal of Central Banking Theory and Practice</w:t>
      </w:r>
      <w:r w:rsidRPr="00C564F2">
        <w:rPr>
          <w:lang w:val="en-ID"/>
        </w:rPr>
        <w:t xml:space="preserve">, </w:t>
      </w:r>
      <w:r w:rsidRPr="00C564F2">
        <w:rPr>
          <w:i/>
          <w:iCs/>
          <w:lang w:val="en-ID"/>
        </w:rPr>
        <w:t>4</w:t>
      </w:r>
      <w:r w:rsidRPr="00C564F2">
        <w:rPr>
          <w:lang w:val="en-ID"/>
        </w:rPr>
        <w:t>(1). https://doi.org/10.1515/jcbtp-2015-0004</w:t>
      </w:r>
    </w:p>
    <w:p w14:paraId="31FFF1AF" w14:textId="77777777" w:rsidR="00AE0010" w:rsidRPr="00C564F2" w:rsidRDefault="00AE0010" w:rsidP="00AE0010">
      <w:pPr>
        <w:widowControl w:val="0"/>
        <w:autoSpaceDE w:val="0"/>
        <w:autoSpaceDN w:val="0"/>
        <w:adjustRightInd w:val="0"/>
        <w:ind w:left="480" w:hanging="480"/>
        <w:jc w:val="both"/>
        <w:rPr>
          <w:lang w:val="en-ID"/>
        </w:rPr>
      </w:pPr>
      <w:proofErr w:type="spellStart"/>
      <w:r w:rsidRPr="00C564F2">
        <w:rPr>
          <w:lang w:val="en-ID"/>
        </w:rPr>
        <w:t>Widarjono</w:t>
      </w:r>
      <w:proofErr w:type="spellEnd"/>
      <w:r w:rsidRPr="00C564F2">
        <w:rPr>
          <w:lang w:val="en-ID"/>
        </w:rPr>
        <w:t xml:space="preserve">, A., </w:t>
      </w:r>
      <w:proofErr w:type="spellStart"/>
      <w:r w:rsidRPr="00C564F2">
        <w:rPr>
          <w:lang w:val="en-ID"/>
        </w:rPr>
        <w:t>Anto</w:t>
      </w:r>
      <w:proofErr w:type="spellEnd"/>
      <w:r w:rsidRPr="00C564F2">
        <w:rPr>
          <w:lang w:val="en-ID"/>
        </w:rPr>
        <w:t xml:space="preserve">, M. B. H., &amp; </w:t>
      </w:r>
      <w:proofErr w:type="spellStart"/>
      <w:r w:rsidRPr="00C564F2">
        <w:rPr>
          <w:lang w:val="en-ID"/>
        </w:rPr>
        <w:t>Fakhrunnas</w:t>
      </w:r>
      <w:proofErr w:type="spellEnd"/>
      <w:r w:rsidRPr="00C564F2">
        <w:rPr>
          <w:lang w:val="en-ID"/>
        </w:rPr>
        <w:t xml:space="preserve">, F. (2020). </w:t>
      </w:r>
      <w:r w:rsidRPr="00C564F2">
        <w:rPr>
          <w:i/>
          <w:iCs/>
          <w:lang w:val="en-ID"/>
        </w:rPr>
        <w:t xml:space="preserve">Financing Risk in Indonesian Islamic Rural </w:t>
      </w:r>
      <w:proofErr w:type="gramStart"/>
      <w:r w:rsidRPr="00C564F2">
        <w:rPr>
          <w:i/>
          <w:iCs/>
          <w:lang w:val="en-ID"/>
        </w:rPr>
        <w:t>Banks :</w:t>
      </w:r>
      <w:proofErr w:type="gramEnd"/>
      <w:r w:rsidRPr="00C564F2">
        <w:rPr>
          <w:i/>
          <w:iCs/>
          <w:lang w:val="en-ID"/>
        </w:rPr>
        <w:t xml:space="preserve"> Do Financing Products Matter ?*</w:t>
      </w:r>
      <w:r w:rsidRPr="00C564F2">
        <w:rPr>
          <w:lang w:val="en-ID"/>
        </w:rPr>
        <w:t xml:space="preserve">. </w:t>
      </w:r>
      <w:r w:rsidRPr="00C564F2">
        <w:rPr>
          <w:i/>
          <w:iCs/>
          <w:lang w:val="en-ID"/>
        </w:rPr>
        <w:t>7</w:t>
      </w:r>
      <w:r w:rsidRPr="00C564F2">
        <w:rPr>
          <w:lang w:val="en-ID"/>
        </w:rPr>
        <w:t>(9), 305–314. https://doi.org/10.13106/jafeb.2020.vol7.no9.305</w:t>
      </w:r>
    </w:p>
    <w:p w14:paraId="42E792C7" w14:textId="77777777" w:rsidR="00AE0010" w:rsidRPr="00C564F2" w:rsidRDefault="00AE0010" w:rsidP="00AE0010">
      <w:pPr>
        <w:widowControl w:val="0"/>
        <w:autoSpaceDE w:val="0"/>
        <w:autoSpaceDN w:val="0"/>
        <w:adjustRightInd w:val="0"/>
        <w:ind w:left="480" w:hanging="480"/>
        <w:jc w:val="both"/>
        <w:rPr>
          <w:lang w:val="en-ID"/>
        </w:rPr>
      </w:pPr>
      <w:proofErr w:type="spellStart"/>
      <w:r w:rsidRPr="00C564F2">
        <w:rPr>
          <w:lang w:val="en-ID"/>
        </w:rPr>
        <w:t>Widarjono</w:t>
      </w:r>
      <w:proofErr w:type="spellEnd"/>
      <w:r w:rsidRPr="00C564F2">
        <w:rPr>
          <w:lang w:val="en-ID"/>
        </w:rPr>
        <w:t xml:space="preserve">, A., &amp; </w:t>
      </w:r>
      <w:proofErr w:type="spellStart"/>
      <w:r w:rsidRPr="00C564F2">
        <w:rPr>
          <w:lang w:val="en-ID"/>
        </w:rPr>
        <w:t>Rudatin</w:t>
      </w:r>
      <w:proofErr w:type="spellEnd"/>
      <w:r w:rsidRPr="00C564F2">
        <w:rPr>
          <w:lang w:val="en-ID"/>
        </w:rPr>
        <w:t xml:space="preserve">, A. (2021). The Determinants of Indonesian Islamic Rural Banks’ Non-Performing Financing. </w:t>
      </w:r>
      <w:r w:rsidRPr="00C564F2">
        <w:rPr>
          <w:i/>
          <w:iCs/>
          <w:lang w:val="en-ID"/>
        </w:rPr>
        <w:t>Global of Islamic Economics and Business</w:t>
      </w:r>
      <w:r w:rsidRPr="00C564F2">
        <w:rPr>
          <w:lang w:val="en-ID"/>
        </w:rPr>
        <w:t xml:space="preserve">, </w:t>
      </w:r>
      <w:r w:rsidRPr="00C564F2">
        <w:rPr>
          <w:i/>
          <w:iCs/>
          <w:lang w:val="en-ID"/>
        </w:rPr>
        <w:t>9</w:t>
      </w:r>
      <w:r w:rsidRPr="00C564F2">
        <w:rPr>
          <w:lang w:val="en-ID"/>
        </w:rPr>
        <w:t>(1), 29–41.</w:t>
      </w:r>
    </w:p>
    <w:p w14:paraId="48F6ABB7" w14:textId="77777777" w:rsidR="00AE0010" w:rsidRPr="00C564F2" w:rsidRDefault="00AE0010" w:rsidP="00AE0010">
      <w:pPr>
        <w:widowControl w:val="0"/>
        <w:autoSpaceDE w:val="0"/>
        <w:autoSpaceDN w:val="0"/>
        <w:adjustRightInd w:val="0"/>
        <w:ind w:left="480" w:hanging="480"/>
        <w:jc w:val="both"/>
        <w:rPr>
          <w:lang w:val="en-ID"/>
        </w:rPr>
      </w:pPr>
      <w:proofErr w:type="spellStart"/>
      <w:r w:rsidRPr="00C564F2">
        <w:rPr>
          <w:lang w:val="en-ID"/>
        </w:rPr>
        <w:t>Wulandari</w:t>
      </w:r>
      <w:proofErr w:type="spellEnd"/>
      <w:r w:rsidRPr="00C564F2">
        <w:rPr>
          <w:lang w:val="en-ID"/>
        </w:rPr>
        <w:t xml:space="preserve">, M. V., </w:t>
      </w:r>
      <w:proofErr w:type="spellStart"/>
      <w:r w:rsidRPr="00C564F2">
        <w:rPr>
          <w:lang w:val="en-ID"/>
        </w:rPr>
        <w:t>Suryana</w:t>
      </w:r>
      <w:proofErr w:type="spellEnd"/>
      <w:r w:rsidRPr="00C564F2">
        <w:rPr>
          <w:lang w:val="en-ID"/>
        </w:rPr>
        <w:t xml:space="preserve">, &amp; </w:t>
      </w:r>
      <w:proofErr w:type="spellStart"/>
      <w:r w:rsidRPr="00C564F2">
        <w:rPr>
          <w:lang w:val="en-ID"/>
        </w:rPr>
        <w:t>Utami</w:t>
      </w:r>
      <w:proofErr w:type="spellEnd"/>
      <w:r w:rsidRPr="00C564F2">
        <w:rPr>
          <w:lang w:val="en-ID"/>
        </w:rPr>
        <w:t xml:space="preserve">, S. A. (2019). Determinant of Non-performing Financing in Indonesia Islamic Bank. </w:t>
      </w:r>
      <w:r w:rsidRPr="00C564F2">
        <w:rPr>
          <w:i/>
          <w:iCs/>
          <w:lang w:val="en-ID"/>
        </w:rPr>
        <w:t xml:space="preserve">The 2nd International Conference on Islamic Economics, Business, and Philanthropy (ICIEBP) Theme: “Sustainability and </w:t>
      </w:r>
      <w:proofErr w:type="gramStart"/>
      <w:r w:rsidRPr="00C564F2">
        <w:rPr>
          <w:i/>
          <w:iCs/>
          <w:lang w:val="en-ID"/>
        </w:rPr>
        <w:t>Socio Economic</w:t>
      </w:r>
      <w:proofErr w:type="gramEnd"/>
      <w:r w:rsidRPr="00C564F2">
        <w:rPr>
          <w:i/>
          <w:iCs/>
          <w:lang w:val="en-ID"/>
        </w:rPr>
        <w:t xml:space="preserve"> Growth</w:t>
      </w:r>
      <w:r w:rsidRPr="00C564F2">
        <w:rPr>
          <w:lang w:val="en-ID"/>
        </w:rPr>
        <w:t xml:space="preserve">, </w:t>
      </w:r>
      <w:r w:rsidRPr="00C564F2">
        <w:rPr>
          <w:i/>
          <w:iCs/>
          <w:lang w:val="en-ID"/>
        </w:rPr>
        <w:t>2019</w:t>
      </w:r>
      <w:r w:rsidRPr="00C564F2">
        <w:rPr>
          <w:lang w:val="en-ID"/>
        </w:rPr>
        <w:t>, 453–468. https://doi.org/10.18502/kss.v3i13.4223</w:t>
      </w:r>
    </w:p>
    <w:p w14:paraId="3A267A00" w14:textId="77777777" w:rsidR="00AE0010" w:rsidRPr="00C031A4" w:rsidRDefault="00AE0010" w:rsidP="00AE0010">
      <w:pPr>
        <w:jc w:val="both"/>
        <w:rPr>
          <w:lang w:val="en-ID"/>
        </w:rPr>
      </w:pPr>
      <w:r w:rsidRPr="00C564F2">
        <w:rPr>
          <w:lang w:val="en-ID"/>
        </w:rPr>
        <w:fldChar w:fldCharType="end"/>
      </w:r>
    </w:p>
    <w:p w14:paraId="3DC6584F" w14:textId="77777777" w:rsidR="00F42780" w:rsidRDefault="00F42780" w:rsidP="00185DD5">
      <w:pPr>
        <w:pStyle w:val="FootnoteText"/>
        <w:spacing w:line="192" w:lineRule="auto"/>
        <w:ind w:left="709"/>
        <w:jc w:val="both"/>
        <w:rPr>
          <w:rFonts w:ascii="Centaur" w:hAnsi="Centaur"/>
          <w:sz w:val="28"/>
          <w:szCs w:val="28"/>
          <w:lang w:val="id-ID"/>
        </w:rPr>
      </w:pPr>
    </w:p>
    <w:p w14:paraId="7D36A610" w14:textId="77777777" w:rsidR="00F42780" w:rsidRDefault="00F42780" w:rsidP="00185DD5">
      <w:pPr>
        <w:pStyle w:val="FootnoteText"/>
        <w:spacing w:line="192" w:lineRule="auto"/>
        <w:ind w:left="709"/>
        <w:jc w:val="both"/>
        <w:rPr>
          <w:rFonts w:ascii="Centaur" w:hAnsi="Centaur"/>
          <w:sz w:val="28"/>
          <w:szCs w:val="28"/>
          <w:lang w:val="id-ID"/>
        </w:rPr>
      </w:pPr>
    </w:p>
    <w:p w14:paraId="348DAC13" w14:textId="77777777" w:rsidR="00F42780" w:rsidRDefault="00F42780" w:rsidP="00185DD5">
      <w:pPr>
        <w:pStyle w:val="FootnoteText"/>
        <w:spacing w:line="192" w:lineRule="auto"/>
        <w:ind w:left="709"/>
        <w:jc w:val="both"/>
        <w:rPr>
          <w:rFonts w:ascii="Centaur" w:hAnsi="Centaur"/>
          <w:sz w:val="28"/>
          <w:szCs w:val="28"/>
          <w:lang w:val="id-ID"/>
        </w:rPr>
      </w:pPr>
    </w:p>
    <w:p w14:paraId="3A0F1CE9" w14:textId="77777777" w:rsidR="00F42780" w:rsidRDefault="00F42780" w:rsidP="00185DD5">
      <w:pPr>
        <w:pStyle w:val="FootnoteText"/>
        <w:spacing w:line="192" w:lineRule="auto"/>
        <w:ind w:left="709"/>
        <w:jc w:val="both"/>
        <w:rPr>
          <w:rFonts w:ascii="Centaur" w:hAnsi="Centaur"/>
          <w:sz w:val="28"/>
          <w:szCs w:val="28"/>
          <w:lang w:val="id-ID"/>
        </w:rPr>
      </w:pPr>
    </w:p>
    <w:p w14:paraId="70D4DF79" w14:textId="77777777" w:rsidR="00F42780" w:rsidRDefault="00F42780" w:rsidP="00185DD5">
      <w:pPr>
        <w:pStyle w:val="FootnoteText"/>
        <w:spacing w:line="192" w:lineRule="auto"/>
        <w:ind w:left="709"/>
        <w:jc w:val="both"/>
        <w:rPr>
          <w:rFonts w:ascii="Centaur" w:hAnsi="Centaur"/>
          <w:sz w:val="28"/>
          <w:szCs w:val="28"/>
          <w:lang w:val="id-ID"/>
        </w:rPr>
      </w:pPr>
    </w:p>
    <w:p w14:paraId="318E1414" w14:textId="77777777" w:rsidR="00F42780" w:rsidRDefault="00F42780" w:rsidP="00185DD5">
      <w:pPr>
        <w:pStyle w:val="FootnoteText"/>
        <w:spacing w:line="192" w:lineRule="auto"/>
        <w:ind w:left="709"/>
        <w:jc w:val="both"/>
        <w:rPr>
          <w:rFonts w:ascii="Centaur" w:hAnsi="Centaur"/>
          <w:sz w:val="28"/>
          <w:szCs w:val="28"/>
          <w:lang w:val="id-ID"/>
        </w:rPr>
      </w:pPr>
    </w:p>
    <w:p w14:paraId="32A50521" w14:textId="77777777" w:rsidR="00F42780" w:rsidRDefault="00F42780" w:rsidP="00185DD5">
      <w:pPr>
        <w:pStyle w:val="FootnoteText"/>
        <w:spacing w:line="192" w:lineRule="auto"/>
        <w:ind w:left="709"/>
        <w:jc w:val="both"/>
        <w:rPr>
          <w:rFonts w:ascii="Centaur" w:hAnsi="Centaur"/>
          <w:sz w:val="28"/>
          <w:szCs w:val="28"/>
          <w:lang w:val="id-ID"/>
        </w:rPr>
      </w:pPr>
    </w:p>
    <w:p w14:paraId="7FC28FDC" w14:textId="77777777" w:rsidR="00F42780" w:rsidRDefault="00F42780" w:rsidP="00185DD5">
      <w:pPr>
        <w:pStyle w:val="FootnoteText"/>
        <w:spacing w:line="192" w:lineRule="auto"/>
        <w:ind w:left="709"/>
        <w:jc w:val="both"/>
        <w:rPr>
          <w:rFonts w:ascii="Centaur" w:hAnsi="Centaur"/>
          <w:sz w:val="28"/>
          <w:szCs w:val="28"/>
          <w:lang w:val="id-ID"/>
        </w:rPr>
      </w:pPr>
    </w:p>
    <w:p w14:paraId="6615F90F" w14:textId="77777777" w:rsidR="00F42780" w:rsidRDefault="00F42780" w:rsidP="00185DD5">
      <w:pPr>
        <w:pStyle w:val="FootnoteText"/>
        <w:spacing w:line="192" w:lineRule="auto"/>
        <w:ind w:left="709"/>
        <w:jc w:val="both"/>
        <w:rPr>
          <w:rFonts w:ascii="Centaur" w:hAnsi="Centaur"/>
          <w:sz w:val="28"/>
          <w:szCs w:val="28"/>
          <w:lang w:val="id-ID"/>
        </w:rPr>
      </w:pPr>
    </w:p>
    <w:p w14:paraId="7400A450" w14:textId="77777777" w:rsidR="00F42780" w:rsidRDefault="00F42780" w:rsidP="00185DD5">
      <w:pPr>
        <w:pStyle w:val="FootnoteText"/>
        <w:spacing w:line="192" w:lineRule="auto"/>
        <w:ind w:left="709"/>
        <w:jc w:val="both"/>
        <w:rPr>
          <w:rFonts w:ascii="Centaur" w:hAnsi="Centaur"/>
          <w:sz w:val="28"/>
          <w:szCs w:val="28"/>
          <w:lang w:val="id-ID"/>
        </w:rPr>
      </w:pPr>
    </w:p>
    <w:p w14:paraId="57AC9888" w14:textId="77777777" w:rsidR="00F42780" w:rsidRDefault="00F42780" w:rsidP="00185DD5">
      <w:pPr>
        <w:pStyle w:val="FootnoteText"/>
        <w:spacing w:line="192" w:lineRule="auto"/>
        <w:ind w:left="709"/>
        <w:jc w:val="both"/>
        <w:rPr>
          <w:rFonts w:ascii="Centaur" w:hAnsi="Centaur"/>
          <w:sz w:val="28"/>
          <w:szCs w:val="28"/>
          <w:lang w:val="id-ID"/>
        </w:rPr>
      </w:pPr>
    </w:p>
    <w:p w14:paraId="136482D5" w14:textId="77777777" w:rsidR="00F42780" w:rsidRDefault="00F42780" w:rsidP="00185DD5">
      <w:pPr>
        <w:pStyle w:val="FootnoteText"/>
        <w:spacing w:line="192" w:lineRule="auto"/>
        <w:ind w:left="709"/>
        <w:jc w:val="both"/>
        <w:rPr>
          <w:rFonts w:ascii="Centaur" w:hAnsi="Centaur"/>
          <w:sz w:val="28"/>
          <w:szCs w:val="28"/>
          <w:lang w:val="id-ID"/>
        </w:rPr>
      </w:pPr>
    </w:p>
    <w:p w14:paraId="11FBEEA9" w14:textId="77777777" w:rsidR="00F42780" w:rsidRPr="00F42780" w:rsidRDefault="00F42780" w:rsidP="00185DD5">
      <w:pPr>
        <w:pStyle w:val="FootnoteText"/>
        <w:spacing w:line="192" w:lineRule="auto"/>
        <w:ind w:left="709"/>
        <w:jc w:val="both"/>
        <w:rPr>
          <w:rFonts w:ascii="Centaur" w:hAnsi="Centaur"/>
          <w:sz w:val="28"/>
          <w:szCs w:val="28"/>
          <w:lang w:val="id-ID"/>
        </w:rPr>
      </w:pPr>
    </w:p>
    <w:sectPr w:rsidR="00F42780" w:rsidRPr="00F42780" w:rsidSect="00F42780">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701" w:right="1701" w:bottom="1701" w:left="184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E4BD7" w14:textId="77777777" w:rsidR="007D1F90" w:rsidRDefault="007D1F90" w:rsidP="00566F39">
      <w:r>
        <w:separator/>
      </w:r>
    </w:p>
  </w:endnote>
  <w:endnote w:type="continuationSeparator" w:id="0">
    <w:p w14:paraId="4223FA35" w14:textId="77777777" w:rsidR="007D1F90" w:rsidRDefault="007D1F90" w:rsidP="00566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entaur">
    <w:panose1 w:val="02030504050205020304"/>
    <w:charset w:val="00"/>
    <w:family w:val="roman"/>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3"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1514" w14:textId="77777777" w:rsidR="00F42780" w:rsidRDefault="00F42780" w:rsidP="00725AB0">
    <w:pPr>
      <w:pStyle w:val="Footer"/>
      <w:tabs>
        <w:tab w:val="right" w:pos="8505"/>
      </w:tabs>
      <w:jc w:val="both"/>
      <w:rPr>
        <w:lang w:val="id-ID"/>
      </w:rPr>
    </w:pPr>
  </w:p>
  <w:p w14:paraId="4DA690A8" w14:textId="77777777" w:rsidR="00F42780" w:rsidRDefault="00F42780" w:rsidP="00725AB0">
    <w:pPr>
      <w:pStyle w:val="Footer"/>
      <w:tabs>
        <w:tab w:val="right" w:pos="8505"/>
      </w:tabs>
      <w:jc w:val="both"/>
      <w:rPr>
        <w:lang w:val="id-ID"/>
      </w:rPr>
    </w:pPr>
  </w:p>
  <w:p w14:paraId="0A08688F" w14:textId="77777777" w:rsidR="00BC05EE" w:rsidRDefault="00BC05EE" w:rsidP="00725AB0">
    <w:pPr>
      <w:pStyle w:val="Footer"/>
      <w:tabs>
        <w:tab w:val="right" w:pos="8505"/>
      </w:tabs>
      <w:jc w:val="both"/>
      <w:rPr>
        <w:lang w:val="id-ID"/>
      </w:rPr>
    </w:pPr>
  </w:p>
  <w:p w14:paraId="7F9FDC29" w14:textId="77777777" w:rsidR="00F42780" w:rsidRDefault="00F42780" w:rsidP="00725AB0">
    <w:pPr>
      <w:pStyle w:val="Footer"/>
      <w:tabs>
        <w:tab w:val="right" w:pos="8505"/>
      </w:tabs>
      <w:jc w:val="both"/>
      <w:rPr>
        <w:lang w:val="id-ID"/>
      </w:rPr>
    </w:pPr>
  </w:p>
  <w:p w14:paraId="32CE0329" w14:textId="77777777" w:rsidR="00F42780" w:rsidRDefault="00F42780" w:rsidP="00725AB0">
    <w:pPr>
      <w:pStyle w:val="Footer"/>
      <w:tabs>
        <w:tab w:val="right" w:pos="8505"/>
      </w:tabs>
      <w:jc w:val="both"/>
      <w:rPr>
        <w:lang w:val="id-ID"/>
      </w:rPr>
    </w:pPr>
  </w:p>
  <w:p w14:paraId="245C15E3" w14:textId="77777777" w:rsidR="00F42780" w:rsidRPr="00BA3EF8" w:rsidRDefault="00725AB0" w:rsidP="00BC05EE">
    <w:pPr>
      <w:pStyle w:val="Footer"/>
      <w:tabs>
        <w:tab w:val="clear" w:pos="4680"/>
        <w:tab w:val="right" w:pos="8364"/>
      </w:tabs>
      <w:jc w:val="both"/>
      <w:rPr>
        <w:lang w:val="id-ID"/>
      </w:rPr>
    </w:pPr>
    <w:r>
      <w:rPr>
        <w:lang w:val="id-ID"/>
      </w:rPr>
      <w:tab/>
    </w:r>
    <w:r w:rsidR="00F42780" w:rsidRPr="00BA3EF8">
      <w:rPr>
        <w:lang w:val="id-ID"/>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E3D44" w14:textId="77777777" w:rsidR="00F42780" w:rsidRDefault="00F42780" w:rsidP="00F42780">
    <w:pPr>
      <w:pStyle w:val="Footer"/>
      <w:tabs>
        <w:tab w:val="right" w:pos="8505"/>
      </w:tabs>
      <w:rPr>
        <w:lang w:val="id-ID"/>
      </w:rPr>
    </w:pPr>
  </w:p>
  <w:p w14:paraId="3D8128C1" w14:textId="77777777" w:rsidR="00F42780" w:rsidRDefault="00F42780" w:rsidP="00725AB0">
    <w:pPr>
      <w:pStyle w:val="Footer"/>
      <w:tabs>
        <w:tab w:val="right" w:pos="8505"/>
      </w:tabs>
      <w:jc w:val="both"/>
      <w:rPr>
        <w:lang w:val="id-ID"/>
      </w:rPr>
    </w:pPr>
  </w:p>
  <w:p w14:paraId="1F053FCB" w14:textId="77777777" w:rsidR="00F42780" w:rsidRDefault="00F42780" w:rsidP="00725AB0">
    <w:pPr>
      <w:pStyle w:val="Footer"/>
      <w:tabs>
        <w:tab w:val="right" w:pos="8505"/>
      </w:tabs>
      <w:jc w:val="both"/>
      <w:rPr>
        <w:lang w:val="id-ID"/>
      </w:rPr>
    </w:pPr>
  </w:p>
  <w:p w14:paraId="276D13C2" w14:textId="77777777" w:rsidR="00F42780" w:rsidRDefault="00F42780" w:rsidP="00725AB0">
    <w:pPr>
      <w:pStyle w:val="Footer"/>
      <w:tabs>
        <w:tab w:val="clear" w:pos="4680"/>
        <w:tab w:val="clear" w:pos="9360"/>
        <w:tab w:val="center" w:pos="8364"/>
        <w:tab w:val="right" w:pos="8505"/>
      </w:tabs>
      <w:jc w:val="both"/>
      <w:rPr>
        <w:lang w:val="id-ID"/>
      </w:rPr>
    </w:pPr>
  </w:p>
  <w:p w14:paraId="1E9BB81E" w14:textId="77777777" w:rsidR="00BC05EE" w:rsidRDefault="00725AB0" w:rsidP="00BC05EE">
    <w:pPr>
      <w:pStyle w:val="Footer"/>
      <w:tabs>
        <w:tab w:val="clear" w:pos="4680"/>
        <w:tab w:val="right" w:pos="8364"/>
      </w:tabs>
      <w:jc w:val="both"/>
      <w:rPr>
        <w:lang w:val="id-ID"/>
      </w:rPr>
    </w:pPr>
    <w:r>
      <w:rPr>
        <w:lang w:val="id-ID"/>
      </w:rPr>
      <w:tab/>
    </w:r>
  </w:p>
  <w:p w14:paraId="56F32B0B" w14:textId="77777777" w:rsidR="00F42780" w:rsidRPr="00BA3EF8" w:rsidRDefault="00725AB0" w:rsidP="00725AB0">
    <w:pPr>
      <w:pStyle w:val="Footer"/>
      <w:tabs>
        <w:tab w:val="clear" w:pos="4680"/>
        <w:tab w:val="clear" w:pos="9360"/>
        <w:tab w:val="right" w:pos="8364"/>
      </w:tabs>
      <w:jc w:val="both"/>
      <w:rPr>
        <w:lang w:val="id-ID"/>
      </w:rPr>
    </w:pPr>
    <w:r>
      <w:rPr>
        <w:lang w:val="id-ID"/>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F42E4" w14:textId="77777777" w:rsidR="00F42780" w:rsidRDefault="00F42780" w:rsidP="00F42780">
    <w:pPr>
      <w:pStyle w:val="Footer"/>
      <w:tabs>
        <w:tab w:val="left" w:pos="-4253"/>
        <w:tab w:val="right" w:pos="8505"/>
      </w:tabs>
      <w:jc w:val="left"/>
      <w:rPr>
        <w:rFonts w:ascii="Centaur" w:hAnsi="Centaur"/>
        <w:lang w:val="id-ID"/>
      </w:rPr>
    </w:pPr>
  </w:p>
  <w:p w14:paraId="09D5F18F" w14:textId="77777777" w:rsidR="00F42780" w:rsidRDefault="00F42780" w:rsidP="00F42780">
    <w:pPr>
      <w:pStyle w:val="Footer"/>
      <w:tabs>
        <w:tab w:val="left" w:pos="-4253"/>
        <w:tab w:val="right" w:pos="8505"/>
      </w:tabs>
      <w:jc w:val="left"/>
      <w:rPr>
        <w:rFonts w:ascii="Centaur" w:hAnsi="Centaur"/>
        <w:lang w:val="id-ID"/>
      </w:rPr>
    </w:pPr>
  </w:p>
  <w:p w14:paraId="6FA0AE6C" w14:textId="77777777" w:rsidR="00F42780" w:rsidRDefault="00F42780" w:rsidP="00F42780">
    <w:pPr>
      <w:pStyle w:val="Footer"/>
      <w:tabs>
        <w:tab w:val="left" w:pos="-4253"/>
        <w:tab w:val="right" w:pos="8505"/>
      </w:tabs>
      <w:jc w:val="left"/>
      <w:rPr>
        <w:rFonts w:ascii="Centaur" w:hAnsi="Centaur"/>
        <w:lang w:val="id-ID"/>
      </w:rPr>
    </w:pPr>
  </w:p>
  <w:p w14:paraId="02505D46" w14:textId="77777777" w:rsidR="00F42780" w:rsidRPr="00F42780" w:rsidRDefault="00F42780" w:rsidP="00F42780">
    <w:pPr>
      <w:pStyle w:val="Footer"/>
      <w:tabs>
        <w:tab w:val="left" w:pos="-4253"/>
        <w:tab w:val="right" w:pos="8505"/>
      </w:tabs>
      <w:jc w:val="left"/>
      <w:rPr>
        <w:rFonts w:ascii="Centaur" w:hAnsi="Centaur"/>
        <w:lang w:val="id-ID"/>
      </w:rPr>
    </w:pPr>
    <w:proofErr w:type="gramStart"/>
    <w:r w:rsidRPr="00F42780">
      <w:rPr>
        <w:rFonts w:ascii="Centaur" w:hAnsi="Centaur"/>
      </w:rPr>
      <w:t>Received :</w:t>
    </w:r>
    <w:proofErr w:type="gramEnd"/>
  </w:p>
  <w:p w14:paraId="6016F99B" w14:textId="77777777" w:rsidR="00F42780" w:rsidRPr="00F42780" w:rsidRDefault="00F42780" w:rsidP="00F42780">
    <w:pPr>
      <w:autoSpaceDE w:val="0"/>
      <w:autoSpaceDN w:val="0"/>
      <w:adjustRightInd w:val="0"/>
      <w:jc w:val="left"/>
      <w:rPr>
        <w:rFonts w:ascii="Centaur" w:hAnsi="Centaur"/>
        <w:lang w:val="id-ID"/>
      </w:rPr>
    </w:pPr>
    <w:r w:rsidRPr="00F42780">
      <w:rPr>
        <w:rFonts w:ascii="Centaur" w:hAnsi="Centaur"/>
        <w:lang w:val="id-ID"/>
      </w:rPr>
      <w:t>Occupuation</w:t>
    </w:r>
  </w:p>
  <w:p w14:paraId="6C728B78" w14:textId="77777777" w:rsidR="00F42780" w:rsidRPr="00F42780" w:rsidRDefault="00F42780" w:rsidP="00F42780">
    <w:pPr>
      <w:pStyle w:val="Footer"/>
      <w:jc w:val="both"/>
    </w:pPr>
    <w:r w:rsidRPr="00F42780">
      <w:rPr>
        <w:rFonts w:ascii="Centaur" w:hAnsi="Centaur"/>
        <w:lang w:val="id-ID"/>
      </w:rPr>
      <w:t xml:space="preserve">E-mail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31339" w14:textId="77777777" w:rsidR="007D1F90" w:rsidRDefault="007D1F90" w:rsidP="0088016A">
      <w:pPr>
        <w:jc w:val="left"/>
      </w:pPr>
      <w:r>
        <w:separator/>
      </w:r>
    </w:p>
  </w:footnote>
  <w:footnote w:type="continuationSeparator" w:id="0">
    <w:p w14:paraId="250D4885" w14:textId="77777777" w:rsidR="007D1F90" w:rsidRDefault="007D1F90" w:rsidP="00566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ADF3" w14:textId="77777777" w:rsidR="00F42780" w:rsidRDefault="00F42780" w:rsidP="00F42780">
    <w:pPr>
      <w:pStyle w:val="Header"/>
      <w:jc w:val="left"/>
      <w:rPr>
        <w:lang w:val="id-ID"/>
      </w:rPr>
    </w:pPr>
    <w:r>
      <w:rPr>
        <w:lang w:val="id-ID"/>
      </w:rPr>
      <w:t>XXXXXXXXXXXXXXXXXXXXXXXXXX</w:t>
    </w:r>
  </w:p>
  <w:p w14:paraId="2A2D4A73" w14:textId="77777777" w:rsidR="00F42780" w:rsidRDefault="00F42780" w:rsidP="00F42780">
    <w:pPr>
      <w:pStyle w:val="Header"/>
      <w:jc w:val="left"/>
      <w:rPr>
        <w:lang w:val="id-ID"/>
      </w:rPr>
    </w:pPr>
    <w:r>
      <w:rPr>
        <w:lang w:val="id-ID"/>
      </w:rPr>
      <w:t>XXXXXXX</w:t>
    </w:r>
  </w:p>
  <w:p w14:paraId="268DEB54" w14:textId="77777777" w:rsidR="00F42780" w:rsidRDefault="00F42780" w:rsidP="00F42780">
    <w:pPr>
      <w:pStyle w:val="Header"/>
      <w:jc w:val="left"/>
      <w:rPr>
        <w:lang w:val="id-ID"/>
      </w:rPr>
    </w:pPr>
  </w:p>
  <w:p w14:paraId="2D89CF48" w14:textId="77777777" w:rsidR="00F42780" w:rsidRDefault="00F42780" w:rsidP="00F42780">
    <w:pPr>
      <w:pStyle w:val="Header"/>
      <w:jc w:val="left"/>
      <w:rPr>
        <w:lang w:val="id-ID"/>
      </w:rPr>
    </w:pPr>
  </w:p>
  <w:p w14:paraId="1AE1C7DD" w14:textId="77777777" w:rsidR="00F42780" w:rsidRDefault="00F42780" w:rsidP="00F42780">
    <w:pPr>
      <w:pStyle w:val="Header"/>
      <w:jc w:val="left"/>
      <w:rPr>
        <w:lang w:val="id-ID"/>
      </w:rPr>
    </w:pPr>
  </w:p>
  <w:p w14:paraId="62BD206E" w14:textId="77777777" w:rsidR="00F42780" w:rsidRDefault="00F42780" w:rsidP="00F42780">
    <w:pPr>
      <w:pStyle w:val="Header"/>
      <w:jc w:val="left"/>
      <w:rPr>
        <w:lang w:val="id-ID"/>
      </w:rPr>
    </w:pPr>
  </w:p>
  <w:p w14:paraId="0C92102E" w14:textId="77777777" w:rsidR="00F42780" w:rsidRPr="00F42780" w:rsidRDefault="00F42780" w:rsidP="00F42780">
    <w:pPr>
      <w:pStyle w:val="Header"/>
      <w:jc w:val="left"/>
      <w:rPr>
        <w:lang w:val="id-I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7D57" w14:textId="77777777" w:rsidR="00F42780" w:rsidRPr="00E71956" w:rsidRDefault="00F42780" w:rsidP="00F42780">
    <w:pPr>
      <w:pStyle w:val="Header"/>
      <w:rPr>
        <w:rFonts w:ascii="Centaur" w:hAnsi="Centaur"/>
        <w:b/>
      </w:rPr>
    </w:pPr>
    <w:r w:rsidRPr="00E71956">
      <w:rPr>
        <w:rFonts w:ascii="Centaur" w:hAnsi="Centaur" w:cs="Aharoni"/>
        <w:b/>
      </w:rPr>
      <w:t>IKONOMIKA</w:t>
    </w:r>
  </w:p>
  <w:p w14:paraId="59F477FA" w14:textId="77777777" w:rsidR="00F42780" w:rsidRDefault="00F42780" w:rsidP="00F42780">
    <w:pPr>
      <w:rPr>
        <w:rFonts w:ascii="Centaur" w:hAnsi="Centaur"/>
        <w:lang w:val="id-ID"/>
      </w:rPr>
    </w:pPr>
    <w:r>
      <w:rPr>
        <w:rFonts w:ascii="Centaur" w:hAnsi="Centaur"/>
      </w:rPr>
      <w:t xml:space="preserve">Volume </w:t>
    </w:r>
    <w:proofErr w:type="gramStart"/>
    <w:r>
      <w:rPr>
        <w:rFonts w:ascii="Centaur" w:hAnsi="Centaur"/>
        <w:lang w:val="id-ID"/>
      </w:rPr>
      <w:t xml:space="preserve">  </w:t>
    </w:r>
    <w:r w:rsidRPr="00E71956">
      <w:rPr>
        <w:rFonts w:ascii="Centaur" w:hAnsi="Centaur"/>
      </w:rPr>
      <w:t>,</w:t>
    </w:r>
    <w:proofErr w:type="gramEnd"/>
    <w:r w:rsidRPr="00E71956">
      <w:rPr>
        <w:rFonts w:ascii="Centaur" w:hAnsi="Centaur"/>
      </w:rPr>
      <w:t xml:space="preserve"> No</w:t>
    </w:r>
    <w:r>
      <w:rPr>
        <w:rFonts w:ascii="Centaur" w:hAnsi="Centaur"/>
        <w:lang w:val="id-ID"/>
      </w:rPr>
      <w:t xml:space="preserve">    </w:t>
    </w:r>
    <w:r>
      <w:rPr>
        <w:rFonts w:ascii="Centaur" w:hAnsi="Centaur"/>
      </w:rPr>
      <w:t xml:space="preserve"> (</w:t>
    </w:r>
    <w:r>
      <w:rPr>
        <w:rFonts w:ascii="Centaur" w:hAnsi="Centaur"/>
        <w:lang w:val="id-ID"/>
      </w:rPr>
      <w:t xml:space="preserve">         </w:t>
    </w:r>
    <w:r w:rsidRPr="00E71956">
      <w:rPr>
        <w:rFonts w:ascii="Centaur" w:hAnsi="Centaur"/>
      </w:rPr>
      <w:t>)</w:t>
    </w:r>
  </w:p>
  <w:p w14:paraId="12AB97F3" w14:textId="77777777" w:rsidR="00F42780" w:rsidRDefault="00F42780" w:rsidP="00F42780">
    <w:pPr>
      <w:pStyle w:val="Header"/>
      <w:tabs>
        <w:tab w:val="left" w:pos="2798"/>
      </w:tabs>
      <w:jc w:val="left"/>
      <w:rPr>
        <w:lang w:val="id-ID"/>
      </w:rPr>
    </w:pPr>
  </w:p>
  <w:p w14:paraId="5BF10EDB" w14:textId="77777777" w:rsidR="00E94CAD" w:rsidRDefault="00E94CAD" w:rsidP="000F1043">
    <w:pPr>
      <w:pStyle w:val="Header"/>
      <w:tabs>
        <w:tab w:val="left" w:pos="2798"/>
      </w:tabs>
      <w:jc w:val="left"/>
      <w:rPr>
        <w:lang w:val="id-ID"/>
      </w:rPr>
    </w:pPr>
    <w:r>
      <w:tab/>
    </w:r>
  </w:p>
  <w:p w14:paraId="49D3CFA2" w14:textId="77777777" w:rsidR="00E94CAD" w:rsidRDefault="00E94CAD" w:rsidP="000F1043">
    <w:pPr>
      <w:pStyle w:val="Header"/>
      <w:tabs>
        <w:tab w:val="left" w:pos="2798"/>
      </w:tabs>
      <w:jc w:val="left"/>
      <w:rPr>
        <w:lang w:val="id-ID"/>
      </w:rPr>
    </w:pPr>
  </w:p>
  <w:p w14:paraId="5DD15F27" w14:textId="77777777" w:rsidR="00E94CAD" w:rsidRDefault="00E94CAD" w:rsidP="000F1043">
    <w:pPr>
      <w:pStyle w:val="Header"/>
      <w:tabs>
        <w:tab w:val="left" w:pos="2798"/>
      </w:tabs>
      <w:jc w:val="left"/>
      <w:rPr>
        <w:lang w:val="id-ID"/>
      </w:rPr>
    </w:pPr>
  </w:p>
  <w:p w14:paraId="443C4B30" w14:textId="77777777" w:rsidR="00E94CAD" w:rsidRPr="00185DD5" w:rsidRDefault="00E94CAD" w:rsidP="000F1043">
    <w:pPr>
      <w:pStyle w:val="Header"/>
      <w:tabs>
        <w:tab w:val="left" w:pos="2798"/>
      </w:tabs>
      <w:jc w:val="left"/>
      <w:rPr>
        <w:lang w:val="id-I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EA93" w14:textId="77777777" w:rsidR="00F42780" w:rsidRPr="00F327ED" w:rsidRDefault="00F42780" w:rsidP="00F42780">
    <w:pPr>
      <w:pStyle w:val="Header"/>
      <w:jc w:val="both"/>
      <w:rPr>
        <w:rFonts w:ascii="Centaur" w:hAnsi="Centaur"/>
        <w:lang w:val="id-ID"/>
      </w:rPr>
    </w:pPr>
    <w:r w:rsidRPr="00084B19">
      <w:rPr>
        <w:rFonts w:ascii="Centaur" w:hAnsi="Centaur" w:cs="Aharoni"/>
        <w:b/>
        <w:bCs/>
      </w:rPr>
      <w:t>IKONOMIKA</w:t>
    </w:r>
    <w:r w:rsidRPr="00D11B37">
      <w:rPr>
        <w:rFonts w:ascii="Centaur" w:hAnsi="Centaur" w:cs="Aharoni"/>
      </w:rPr>
      <w:t xml:space="preserve">: </w:t>
    </w:r>
    <w:r>
      <w:rPr>
        <w:rFonts w:ascii="Centaur" w:hAnsi="Centaur"/>
        <w:lang w:val="id-ID"/>
      </w:rPr>
      <w:t>Jurnal Ekonomi dan Bisnis Islam</w:t>
    </w:r>
  </w:p>
  <w:p w14:paraId="142007E2" w14:textId="77777777" w:rsidR="00F42780" w:rsidRPr="00D11B37" w:rsidRDefault="00F42780" w:rsidP="00F42780">
    <w:pPr>
      <w:pStyle w:val="Header"/>
      <w:jc w:val="left"/>
      <w:rPr>
        <w:rFonts w:ascii="Centaur" w:hAnsi="Centaur"/>
      </w:rPr>
    </w:pPr>
    <w:r>
      <w:rPr>
        <w:rFonts w:ascii="Centaur" w:hAnsi="Centaur"/>
      </w:rPr>
      <w:t xml:space="preserve">Volume </w:t>
    </w:r>
    <w:r>
      <w:rPr>
        <w:rFonts w:ascii="Centaur" w:hAnsi="Centaur"/>
        <w:lang w:val="id-ID"/>
      </w:rPr>
      <w:t>-</w:t>
    </w:r>
    <w:r w:rsidRPr="00D11B37">
      <w:rPr>
        <w:rFonts w:ascii="Centaur" w:hAnsi="Centaur"/>
      </w:rPr>
      <w:t xml:space="preserve">, No </w:t>
    </w:r>
    <w:r>
      <w:rPr>
        <w:rFonts w:ascii="Centaur" w:hAnsi="Centaur"/>
        <w:lang w:val="id-ID"/>
      </w:rPr>
      <w:t>-</w:t>
    </w:r>
    <w:r>
      <w:rPr>
        <w:rFonts w:ascii="Centaur" w:hAnsi="Centaur"/>
      </w:rPr>
      <w:t xml:space="preserve"> </w:t>
    </w:r>
    <w:proofErr w:type="gramStart"/>
    <w:r>
      <w:rPr>
        <w:rFonts w:ascii="Centaur" w:hAnsi="Centaur"/>
      </w:rPr>
      <w:t>(</w:t>
    </w:r>
    <w:r>
      <w:rPr>
        <w:rFonts w:ascii="Centaur" w:hAnsi="Centaur"/>
        <w:lang w:val="id-ID"/>
      </w:rPr>
      <w:t xml:space="preserve">  </w:t>
    </w:r>
    <w:proofErr w:type="gramEnd"/>
    <w:r>
      <w:rPr>
        <w:rFonts w:ascii="Centaur" w:hAnsi="Centaur"/>
        <w:lang w:val="id-ID"/>
      </w:rPr>
      <w:t xml:space="preserve">       </w:t>
    </w:r>
    <w:r w:rsidRPr="00D11B37">
      <w:rPr>
        <w:rFonts w:ascii="Centaur" w:hAnsi="Centaur"/>
      </w:rPr>
      <w:t>)</w:t>
    </w:r>
  </w:p>
  <w:p w14:paraId="2BDB33F5" w14:textId="77777777" w:rsidR="00F42780" w:rsidRPr="00D11B37" w:rsidRDefault="00F42780" w:rsidP="00F42780">
    <w:pPr>
      <w:jc w:val="left"/>
      <w:rPr>
        <w:rFonts w:ascii="Centaur" w:hAnsi="Centaur"/>
      </w:rPr>
    </w:pPr>
    <w:proofErr w:type="gramStart"/>
    <w:r w:rsidRPr="00D11B37">
      <w:rPr>
        <w:rFonts w:ascii="Centaur" w:hAnsi="Centaur"/>
      </w:rPr>
      <w:t>ISSN :</w:t>
    </w:r>
    <w:proofErr w:type="gramEnd"/>
    <w:r w:rsidRPr="00D11B37">
      <w:rPr>
        <w:rFonts w:ascii="Centaur" w:hAnsi="Centaur"/>
      </w:rPr>
      <w:t xml:space="preserve"> 2527-3434 (PRINT) - ISSN: 2527-5143 (ONLINE)</w:t>
    </w:r>
  </w:p>
  <w:p w14:paraId="13650317" w14:textId="77777777" w:rsidR="00F42780" w:rsidRPr="009F7A3F" w:rsidRDefault="00F42780" w:rsidP="00F42780">
    <w:pPr>
      <w:jc w:val="left"/>
      <w:rPr>
        <w:rFonts w:ascii="Centaur" w:hAnsi="Centaur"/>
        <w:lang w:val="id-ID"/>
      </w:rPr>
    </w:pPr>
    <w:proofErr w:type="gramStart"/>
    <w:r w:rsidRPr="00D11B37">
      <w:rPr>
        <w:rFonts w:ascii="Centaur" w:hAnsi="Centaur"/>
      </w:rPr>
      <w:t>Page  :</w:t>
    </w:r>
    <w:proofErr w:type="gramEnd"/>
    <w:r>
      <w:rPr>
        <w:rFonts w:ascii="Centaur" w:hAnsi="Centaur"/>
        <w:lang w:val="id-ID"/>
      </w:rPr>
      <w:t xml:space="preserve">     - </w:t>
    </w:r>
  </w:p>
  <w:p w14:paraId="25344EF7" w14:textId="77777777" w:rsidR="00F42780" w:rsidRDefault="00F42780" w:rsidP="00F42780">
    <w:pPr>
      <w:pStyle w:val="Header"/>
      <w:jc w:val="left"/>
      <w:rPr>
        <w:lang w:val="id-ID"/>
      </w:rPr>
    </w:pPr>
  </w:p>
  <w:p w14:paraId="62C629C1" w14:textId="77777777" w:rsidR="00F42780" w:rsidRDefault="00F42780" w:rsidP="00F42780">
    <w:pPr>
      <w:pStyle w:val="Header"/>
      <w:jc w:val="left"/>
      <w:rPr>
        <w:lang w:val="id-ID"/>
      </w:rPr>
    </w:pPr>
  </w:p>
  <w:p w14:paraId="673CAAA7" w14:textId="77777777" w:rsidR="00F42780" w:rsidRPr="00F42780" w:rsidRDefault="00F42780" w:rsidP="00F42780">
    <w:pPr>
      <w:pStyle w:val="Header"/>
      <w:jc w:val="left"/>
      <w:rPr>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6"/>
    <w:lvl w:ilvl="0">
      <w:start w:val="1"/>
      <w:numFmt w:val="decimal"/>
      <w:lvlText w:val="%1."/>
      <w:lvlJc w:val="left"/>
      <w:pPr>
        <w:tabs>
          <w:tab w:val="num" w:pos="1140"/>
        </w:tabs>
        <w:ind w:left="1140" w:hanging="360"/>
      </w:pPr>
      <w:rPr>
        <w:rFonts w:cs="Times New Roman"/>
      </w:rPr>
    </w:lvl>
  </w:abstractNum>
  <w:abstractNum w:abstractNumId="1" w15:restartNumberingAfterBreak="0">
    <w:nsid w:val="07806311"/>
    <w:multiLevelType w:val="hybridMultilevel"/>
    <w:tmpl w:val="8C7AA8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A8A0874"/>
    <w:multiLevelType w:val="hybridMultilevel"/>
    <w:tmpl w:val="BA66867A"/>
    <w:lvl w:ilvl="0" w:tplc="04090019">
      <w:start w:val="1"/>
      <w:numFmt w:val="lowerLetter"/>
      <w:lvlText w:val="%1."/>
      <w:lvlJc w:val="left"/>
      <w:pPr>
        <w:tabs>
          <w:tab w:val="num" w:pos="660"/>
        </w:tabs>
        <w:ind w:left="660" w:hanging="360"/>
      </w:pPr>
      <w:rPr>
        <w:rFonts w:cs="Times New Roman" w:hint="default"/>
        <w:i w:val="0"/>
        <w:iCs/>
      </w:rPr>
    </w:lvl>
    <w:lvl w:ilvl="1" w:tplc="B57C09B4">
      <w:start w:val="1"/>
      <w:numFmt w:val="lowerLetter"/>
      <w:lvlText w:val="%2."/>
      <w:lvlJc w:val="left"/>
      <w:pPr>
        <w:ind w:left="1380" w:hanging="360"/>
      </w:pPr>
      <w:rPr>
        <w:rFonts w:cs="Times New Roman" w:hint="default"/>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abstractNum w:abstractNumId="3" w15:restartNumberingAfterBreak="0">
    <w:nsid w:val="4FA64C78"/>
    <w:multiLevelType w:val="hybridMultilevel"/>
    <w:tmpl w:val="F28C6EC0"/>
    <w:lvl w:ilvl="0" w:tplc="2820AD90">
      <w:start w:val="1"/>
      <w:numFmt w:val="upperLetter"/>
      <w:lvlText w:val="%1."/>
      <w:lvlJc w:val="left"/>
      <w:pPr>
        <w:ind w:left="3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5BD697E"/>
    <w:multiLevelType w:val="hybridMultilevel"/>
    <w:tmpl w:val="AFA286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39"/>
    <w:rsid w:val="000037CC"/>
    <w:rsid w:val="00004F73"/>
    <w:rsid w:val="000117CF"/>
    <w:rsid w:val="00016624"/>
    <w:rsid w:val="00020AF7"/>
    <w:rsid w:val="000226B1"/>
    <w:rsid w:val="0002643F"/>
    <w:rsid w:val="00032582"/>
    <w:rsid w:val="00041FA6"/>
    <w:rsid w:val="00047E99"/>
    <w:rsid w:val="00052AB1"/>
    <w:rsid w:val="0005794F"/>
    <w:rsid w:val="0006225F"/>
    <w:rsid w:val="000D02AC"/>
    <w:rsid w:val="000D20C8"/>
    <w:rsid w:val="000D3AA8"/>
    <w:rsid w:val="000D4763"/>
    <w:rsid w:val="000D484E"/>
    <w:rsid w:val="000F1043"/>
    <w:rsid w:val="00102FA8"/>
    <w:rsid w:val="00105EB5"/>
    <w:rsid w:val="00111E0F"/>
    <w:rsid w:val="00114B88"/>
    <w:rsid w:val="001151A7"/>
    <w:rsid w:val="00124A83"/>
    <w:rsid w:val="001344C7"/>
    <w:rsid w:val="00145655"/>
    <w:rsid w:val="00154672"/>
    <w:rsid w:val="00160E52"/>
    <w:rsid w:val="001676D3"/>
    <w:rsid w:val="00172C31"/>
    <w:rsid w:val="00176E47"/>
    <w:rsid w:val="00185DD5"/>
    <w:rsid w:val="001B7BC0"/>
    <w:rsid w:val="001C622B"/>
    <w:rsid w:val="001E2CFB"/>
    <w:rsid w:val="00201B0F"/>
    <w:rsid w:val="00206306"/>
    <w:rsid w:val="0021149D"/>
    <w:rsid w:val="00217E90"/>
    <w:rsid w:val="00227C80"/>
    <w:rsid w:val="002309D2"/>
    <w:rsid w:val="002375F4"/>
    <w:rsid w:val="002450EB"/>
    <w:rsid w:val="00245FFD"/>
    <w:rsid w:val="00246B75"/>
    <w:rsid w:val="00246E6B"/>
    <w:rsid w:val="00253A0C"/>
    <w:rsid w:val="0025581F"/>
    <w:rsid w:val="00261C63"/>
    <w:rsid w:val="00273BD9"/>
    <w:rsid w:val="002A65E6"/>
    <w:rsid w:val="002B10BE"/>
    <w:rsid w:val="002B49F1"/>
    <w:rsid w:val="002E7A4F"/>
    <w:rsid w:val="002F6B0F"/>
    <w:rsid w:val="002F7AE9"/>
    <w:rsid w:val="00316EC3"/>
    <w:rsid w:val="00330D43"/>
    <w:rsid w:val="0034799C"/>
    <w:rsid w:val="00386C65"/>
    <w:rsid w:val="00396ECC"/>
    <w:rsid w:val="00397C9E"/>
    <w:rsid w:val="003D396C"/>
    <w:rsid w:val="003F541A"/>
    <w:rsid w:val="003F7D6D"/>
    <w:rsid w:val="004031E2"/>
    <w:rsid w:val="00410034"/>
    <w:rsid w:val="004142A1"/>
    <w:rsid w:val="00427260"/>
    <w:rsid w:val="0042759E"/>
    <w:rsid w:val="00432092"/>
    <w:rsid w:val="00453572"/>
    <w:rsid w:val="00455A44"/>
    <w:rsid w:val="00462304"/>
    <w:rsid w:val="00474A19"/>
    <w:rsid w:val="00481E4D"/>
    <w:rsid w:val="0049575E"/>
    <w:rsid w:val="004A2F33"/>
    <w:rsid w:val="004B3537"/>
    <w:rsid w:val="004C1DFB"/>
    <w:rsid w:val="004C44E9"/>
    <w:rsid w:val="004C6EAF"/>
    <w:rsid w:val="004D0A6A"/>
    <w:rsid w:val="004E64B0"/>
    <w:rsid w:val="004F3081"/>
    <w:rsid w:val="005465D8"/>
    <w:rsid w:val="005513AD"/>
    <w:rsid w:val="00552CDE"/>
    <w:rsid w:val="00566F39"/>
    <w:rsid w:val="005701B1"/>
    <w:rsid w:val="00576E95"/>
    <w:rsid w:val="00577A7F"/>
    <w:rsid w:val="00582736"/>
    <w:rsid w:val="00597911"/>
    <w:rsid w:val="005B0AC9"/>
    <w:rsid w:val="005C1F72"/>
    <w:rsid w:val="005C4902"/>
    <w:rsid w:val="005C4FD2"/>
    <w:rsid w:val="005E45AA"/>
    <w:rsid w:val="005F2269"/>
    <w:rsid w:val="005F7EBE"/>
    <w:rsid w:val="006071DB"/>
    <w:rsid w:val="00607A57"/>
    <w:rsid w:val="00621C78"/>
    <w:rsid w:val="00630B80"/>
    <w:rsid w:val="006400BB"/>
    <w:rsid w:val="00656873"/>
    <w:rsid w:val="0068665D"/>
    <w:rsid w:val="0068733A"/>
    <w:rsid w:val="006A2ABB"/>
    <w:rsid w:val="006B23CF"/>
    <w:rsid w:val="006C00A4"/>
    <w:rsid w:val="006D7825"/>
    <w:rsid w:val="006E38B0"/>
    <w:rsid w:val="00700517"/>
    <w:rsid w:val="00702328"/>
    <w:rsid w:val="00712753"/>
    <w:rsid w:val="00725AB0"/>
    <w:rsid w:val="007313D2"/>
    <w:rsid w:val="00736619"/>
    <w:rsid w:val="00736C2E"/>
    <w:rsid w:val="00743A95"/>
    <w:rsid w:val="00755802"/>
    <w:rsid w:val="007633EF"/>
    <w:rsid w:val="00766DB4"/>
    <w:rsid w:val="00774AE9"/>
    <w:rsid w:val="00786DFD"/>
    <w:rsid w:val="007A3B64"/>
    <w:rsid w:val="007D1F90"/>
    <w:rsid w:val="007F3600"/>
    <w:rsid w:val="007F6424"/>
    <w:rsid w:val="00800352"/>
    <w:rsid w:val="00800B7F"/>
    <w:rsid w:val="00833BC1"/>
    <w:rsid w:val="00834B52"/>
    <w:rsid w:val="00845FCD"/>
    <w:rsid w:val="00847071"/>
    <w:rsid w:val="00860D07"/>
    <w:rsid w:val="0088016A"/>
    <w:rsid w:val="00883FB4"/>
    <w:rsid w:val="00884200"/>
    <w:rsid w:val="008873B1"/>
    <w:rsid w:val="00887E5F"/>
    <w:rsid w:val="008B2542"/>
    <w:rsid w:val="008B7974"/>
    <w:rsid w:val="008C48E3"/>
    <w:rsid w:val="008D3DA4"/>
    <w:rsid w:val="008D69B6"/>
    <w:rsid w:val="008E6061"/>
    <w:rsid w:val="008E6D99"/>
    <w:rsid w:val="008F0C14"/>
    <w:rsid w:val="008F4C8B"/>
    <w:rsid w:val="009303F4"/>
    <w:rsid w:val="009324E4"/>
    <w:rsid w:val="009418A3"/>
    <w:rsid w:val="00950EA9"/>
    <w:rsid w:val="00962BCC"/>
    <w:rsid w:val="00986647"/>
    <w:rsid w:val="009902A7"/>
    <w:rsid w:val="009A0BAF"/>
    <w:rsid w:val="009A4BEE"/>
    <w:rsid w:val="009A5507"/>
    <w:rsid w:val="009A7E6B"/>
    <w:rsid w:val="009C6D95"/>
    <w:rsid w:val="009C7607"/>
    <w:rsid w:val="009D1B04"/>
    <w:rsid w:val="009E1755"/>
    <w:rsid w:val="009E6F75"/>
    <w:rsid w:val="00A00323"/>
    <w:rsid w:val="00A022E1"/>
    <w:rsid w:val="00A24A17"/>
    <w:rsid w:val="00A27915"/>
    <w:rsid w:val="00A31F1E"/>
    <w:rsid w:val="00A570B1"/>
    <w:rsid w:val="00A91FCE"/>
    <w:rsid w:val="00AB3832"/>
    <w:rsid w:val="00AB721A"/>
    <w:rsid w:val="00AE0010"/>
    <w:rsid w:val="00AE2404"/>
    <w:rsid w:val="00AF630F"/>
    <w:rsid w:val="00B06972"/>
    <w:rsid w:val="00B6459A"/>
    <w:rsid w:val="00B66A6C"/>
    <w:rsid w:val="00B834DB"/>
    <w:rsid w:val="00B90884"/>
    <w:rsid w:val="00BA7C4D"/>
    <w:rsid w:val="00BC05EE"/>
    <w:rsid w:val="00BC2C32"/>
    <w:rsid w:val="00BC5BFB"/>
    <w:rsid w:val="00BC7040"/>
    <w:rsid w:val="00BD27F5"/>
    <w:rsid w:val="00C532E6"/>
    <w:rsid w:val="00C536BC"/>
    <w:rsid w:val="00C6340E"/>
    <w:rsid w:val="00C63E71"/>
    <w:rsid w:val="00C95B4C"/>
    <w:rsid w:val="00CC563E"/>
    <w:rsid w:val="00CD6A8E"/>
    <w:rsid w:val="00CF5F72"/>
    <w:rsid w:val="00D01471"/>
    <w:rsid w:val="00D16875"/>
    <w:rsid w:val="00D22C0D"/>
    <w:rsid w:val="00D27B6A"/>
    <w:rsid w:val="00D475CB"/>
    <w:rsid w:val="00D55C27"/>
    <w:rsid w:val="00D75F9C"/>
    <w:rsid w:val="00D765AB"/>
    <w:rsid w:val="00D8207E"/>
    <w:rsid w:val="00D868E5"/>
    <w:rsid w:val="00D96A0D"/>
    <w:rsid w:val="00DA0DCC"/>
    <w:rsid w:val="00DA2F1C"/>
    <w:rsid w:val="00DE3933"/>
    <w:rsid w:val="00DE55C4"/>
    <w:rsid w:val="00DF351C"/>
    <w:rsid w:val="00DF3FD9"/>
    <w:rsid w:val="00DF4091"/>
    <w:rsid w:val="00E216CF"/>
    <w:rsid w:val="00E41502"/>
    <w:rsid w:val="00E4210D"/>
    <w:rsid w:val="00E56D0D"/>
    <w:rsid w:val="00E80791"/>
    <w:rsid w:val="00E94CAD"/>
    <w:rsid w:val="00EB593A"/>
    <w:rsid w:val="00EB73CA"/>
    <w:rsid w:val="00ED2112"/>
    <w:rsid w:val="00F06F4F"/>
    <w:rsid w:val="00F125A8"/>
    <w:rsid w:val="00F173DE"/>
    <w:rsid w:val="00F2702C"/>
    <w:rsid w:val="00F42780"/>
    <w:rsid w:val="00F476D2"/>
    <w:rsid w:val="00F47CF7"/>
    <w:rsid w:val="00F65F30"/>
    <w:rsid w:val="00F82B7F"/>
    <w:rsid w:val="00FC2FA0"/>
    <w:rsid w:val="00FC4F65"/>
    <w:rsid w:val="00FD3AF1"/>
    <w:rsid w:val="00FF3FA8"/>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2DEF3"/>
  <w15:docId w15:val="{FF401D5F-24C6-417A-9BD3-E95AC08D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16A"/>
    <w:pPr>
      <w:spacing w:after="0" w:line="240" w:lineRule="auto"/>
      <w:jc w:val="righ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F39"/>
    <w:pPr>
      <w:tabs>
        <w:tab w:val="center" w:pos="4680"/>
        <w:tab w:val="right" w:pos="9360"/>
      </w:tabs>
    </w:pPr>
  </w:style>
  <w:style w:type="character" w:customStyle="1" w:styleId="HeaderChar">
    <w:name w:val="Header Char"/>
    <w:basedOn w:val="DefaultParagraphFont"/>
    <w:link w:val="Header"/>
    <w:uiPriority w:val="99"/>
    <w:rsid w:val="00566F39"/>
  </w:style>
  <w:style w:type="paragraph" w:styleId="Footer">
    <w:name w:val="footer"/>
    <w:basedOn w:val="Normal"/>
    <w:link w:val="FooterChar"/>
    <w:uiPriority w:val="99"/>
    <w:unhideWhenUsed/>
    <w:qFormat/>
    <w:rsid w:val="00566F39"/>
    <w:pPr>
      <w:tabs>
        <w:tab w:val="center" w:pos="4680"/>
        <w:tab w:val="right" w:pos="9360"/>
      </w:tabs>
    </w:pPr>
  </w:style>
  <w:style w:type="character" w:customStyle="1" w:styleId="FooterChar">
    <w:name w:val="Footer Char"/>
    <w:basedOn w:val="DefaultParagraphFont"/>
    <w:link w:val="Footer"/>
    <w:uiPriority w:val="99"/>
    <w:rsid w:val="00566F39"/>
  </w:style>
  <w:style w:type="paragraph" w:styleId="FootnoteText">
    <w:name w:val="footnote text"/>
    <w:aliases w:val="Char"/>
    <w:basedOn w:val="Normal"/>
    <w:link w:val="FootnoteTextChar"/>
    <w:rsid w:val="0088016A"/>
    <w:rPr>
      <w:sz w:val="20"/>
      <w:szCs w:val="20"/>
    </w:rPr>
  </w:style>
  <w:style w:type="character" w:customStyle="1" w:styleId="FootnoteTextChar">
    <w:name w:val="Footnote Text Char"/>
    <w:aliases w:val="Char Char"/>
    <w:basedOn w:val="DefaultParagraphFont"/>
    <w:link w:val="FootnoteText"/>
    <w:rsid w:val="0088016A"/>
    <w:rPr>
      <w:rFonts w:ascii="Times New Roman" w:eastAsia="Times New Roman" w:hAnsi="Times New Roman" w:cs="Times New Roman"/>
      <w:sz w:val="20"/>
      <w:szCs w:val="20"/>
    </w:rPr>
  </w:style>
  <w:style w:type="character" w:styleId="FootnoteReference">
    <w:name w:val="footnote reference"/>
    <w:basedOn w:val="DefaultParagraphFont"/>
    <w:rsid w:val="0088016A"/>
    <w:rPr>
      <w:rFonts w:cs="Times New Roman"/>
      <w:vertAlign w:val="superscript"/>
    </w:rPr>
  </w:style>
  <w:style w:type="paragraph" w:styleId="BodyText">
    <w:name w:val="Body Text"/>
    <w:basedOn w:val="Normal"/>
    <w:link w:val="BodyTextChar"/>
    <w:uiPriority w:val="99"/>
    <w:rsid w:val="0088016A"/>
    <w:pPr>
      <w:spacing w:after="120"/>
      <w:jc w:val="left"/>
    </w:pPr>
  </w:style>
  <w:style w:type="character" w:customStyle="1" w:styleId="BodyTextChar">
    <w:name w:val="Body Text Char"/>
    <w:basedOn w:val="DefaultParagraphFont"/>
    <w:link w:val="BodyText"/>
    <w:uiPriority w:val="99"/>
    <w:rsid w:val="0088016A"/>
    <w:rPr>
      <w:rFonts w:ascii="Times New Roman" w:eastAsia="Times New Roman" w:hAnsi="Times New Roman" w:cs="Times New Roman"/>
      <w:sz w:val="24"/>
      <w:szCs w:val="24"/>
    </w:rPr>
  </w:style>
  <w:style w:type="character" w:styleId="Emphasis">
    <w:name w:val="Emphasis"/>
    <w:basedOn w:val="DefaultParagraphFont"/>
    <w:uiPriority w:val="20"/>
    <w:qFormat/>
    <w:rsid w:val="0088016A"/>
    <w:rPr>
      <w:rFonts w:cs="Times New Roman"/>
      <w:i/>
      <w:iCs/>
    </w:rPr>
  </w:style>
  <w:style w:type="paragraph" w:styleId="ListParagraph">
    <w:name w:val="List Paragraph"/>
    <w:aliases w:val="Body of text"/>
    <w:basedOn w:val="Normal"/>
    <w:link w:val="ListParagraphChar"/>
    <w:uiPriority w:val="34"/>
    <w:qFormat/>
    <w:rsid w:val="0088016A"/>
    <w:pPr>
      <w:ind w:left="720"/>
      <w:contextualSpacing/>
    </w:pPr>
  </w:style>
  <w:style w:type="paragraph" w:styleId="EndnoteText">
    <w:name w:val="endnote text"/>
    <w:basedOn w:val="Normal"/>
    <w:link w:val="EndnoteTextChar"/>
    <w:uiPriority w:val="99"/>
    <w:semiHidden/>
    <w:unhideWhenUsed/>
    <w:rsid w:val="0088016A"/>
    <w:rPr>
      <w:sz w:val="20"/>
      <w:szCs w:val="20"/>
    </w:rPr>
  </w:style>
  <w:style w:type="character" w:customStyle="1" w:styleId="EndnoteTextChar">
    <w:name w:val="Endnote Text Char"/>
    <w:basedOn w:val="DefaultParagraphFont"/>
    <w:link w:val="EndnoteText"/>
    <w:uiPriority w:val="99"/>
    <w:semiHidden/>
    <w:rsid w:val="0088016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8016A"/>
    <w:rPr>
      <w:rFonts w:cs="Times New Roman"/>
      <w:vertAlign w:val="superscript"/>
    </w:rPr>
  </w:style>
  <w:style w:type="paragraph" w:styleId="NormalWeb">
    <w:name w:val="Normal (Web)"/>
    <w:basedOn w:val="Normal"/>
    <w:link w:val="NormalWebChar"/>
    <w:uiPriority w:val="99"/>
    <w:rsid w:val="0068733A"/>
    <w:pPr>
      <w:spacing w:before="100" w:beforeAutospacing="1" w:after="100" w:afterAutospacing="1" w:line="360" w:lineRule="auto"/>
      <w:jc w:val="both"/>
    </w:pPr>
  </w:style>
  <w:style w:type="character" w:customStyle="1" w:styleId="NormalWebChar">
    <w:name w:val="Normal (Web) Char"/>
    <w:basedOn w:val="DefaultParagraphFont"/>
    <w:link w:val="NormalWeb"/>
    <w:uiPriority w:val="99"/>
    <w:locked/>
    <w:rsid w:val="0068733A"/>
    <w:rPr>
      <w:rFonts w:ascii="Times New Roman" w:eastAsia="Times New Roman" w:hAnsi="Times New Roman" w:cs="Times New Roman"/>
      <w:sz w:val="24"/>
      <w:szCs w:val="24"/>
    </w:rPr>
  </w:style>
  <w:style w:type="character" w:styleId="Strong">
    <w:name w:val="Strong"/>
    <w:basedOn w:val="DefaultParagraphFont"/>
    <w:uiPriority w:val="22"/>
    <w:qFormat/>
    <w:rsid w:val="0068733A"/>
    <w:rPr>
      <w:b/>
      <w:bCs/>
    </w:rPr>
  </w:style>
  <w:style w:type="character" w:customStyle="1" w:styleId="kcmread1114">
    <w:name w:val="kcmread1114"/>
    <w:basedOn w:val="DefaultParagraphFont"/>
    <w:rsid w:val="0068733A"/>
  </w:style>
  <w:style w:type="character" w:styleId="Hyperlink">
    <w:name w:val="Hyperlink"/>
    <w:basedOn w:val="DefaultParagraphFont"/>
    <w:uiPriority w:val="99"/>
    <w:unhideWhenUsed/>
    <w:rsid w:val="0068733A"/>
    <w:rPr>
      <w:color w:val="0000FF"/>
      <w:u w:val="single"/>
    </w:rPr>
  </w:style>
  <w:style w:type="paragraph" w:styleId="BalloonText">
    <w:name w:val="Balloon Text"/>
    <w:basedOn w:val="Normal"/>
    <w:link w:val="BalloonTextChar"/>
    <w:uiPriority w:val="99"/>
    <w:semiHidden/>
    <w:unhideWhenUsed/>
    <w:rsid w:val="0068733A"/>
    <w:rPr>
      <w:rFonts w:ascii="Tahoma" w:hAnsi="Tahoma" w:cs="Tahoma"/>
      <w:sz w:val="16"/>
      <w:szCs w:val="16"/>
    </w:rPr>
  </w:style>
  <w:style w:type="character" w:customStyle="1" w:styleId="BalloonTextChar">
    <w:name w:val="Balloon Text Char"/>
    <w:basedOn w:val="DefaultParagraphFont"/>
    <w:link w:val="BalloonText"/>
    <w:uiPriority w:val="99"/>
    <w:semiHidden/>
    <w:rsid w:val="0068733A"/>
    <w:rPr>
      <w:rFonts w:ascii="Tahoma" w:eastAsia="Times New Roman" w:hAnsi="Tahoma" w:cs="Tahoma"/>
      <w:sz w:val="16"/>
      <w:szCs w:val="16"/>
    </w:rPr>
  </w:style>
  <w:style w:type="character" w:customStyle="1" w:styleId="apple-style-span">
    <w:name w:val="apple-style-span"/>
    <w:basedOn w:val="DefaultParagraphFont"/>
    <w:rsid w:val="0068733A"/>
    <w:rPr>
      <w:rFonts w:cs="Times New Roman"/>
    </w:rPr>
  </w:style>
  <w:style w:type="character" w:customStyle="1" w:styleId="apple-converted-space">
    <w:name w:val="apple-converted-space"/>
    <w:basedOn w:val="DefaultParagraphFont"/>
    <w:rsid w:val="0068733A"/>
    <w:rPr>
      <w:rFonts w:cs="Times New Roman"/>
    </w:rPr>
  </w:style>
  <w:style w:type="paragraph" w:customStyle="1" w:styleId="Default">
    <w:name w:val="Default"/>
    <w:rsid w:val="0068733A"/>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Normal1">
    <w:name w:val="Normal+1"/>
    <w:basedOn w:val="Default"/>
    <w:next w:val="Default"/>
    <w:uiPriority w:val="99"/>
    <w:rsid w:val="0068733A"/>
    <w:rPr>
      <w:rFonts w:cs="Times New Roman"/>
      <w:color w:val="auto"/>
    </w:rPr>
  </w:style>
  <w:style w:type="paragraph" w:customStyle="1" w:styleId="msolistparagraph0">
    <w:name w:val="msolistparagraph"/>
    <w:basedOn w:val="Normal"/>
    <w:rsid w:val="0068733A"/>
    <w:pPr>
      <w:ind w:left="720"/>
      <w:jc w:val="both"/>
    </w:pPr>
    <w:rPr>
      <w:rFonts w:ascii="Calibri" w:hAnsi="Calibri" w:cs="Calibri"/>
      <w:sz w:val="22"/>
      <w:szCs w:val="22"/>
    </w:rPr>
  </w:style>
  <w:style w:type="character" w:customStyle="1" w:styleId="FootnoteCharacters">
    <w:name w:val="Footnote Characters"/>
    <w:basedOn w:val="DefaultParagraphFont"/>
    <w:uiPriority w:val="99"/>
    <w:rsid w:val="0068733A"/>
    <w:rPr>
      <w:rFonts w:cs="Times New Roman"/>
      <w:vertAlign w:val="superscript"/>
    </w:rPr>
  </w:style>
  <w:style w:type="paragraph" w:customStyle="1" w:styleId="Normal4">
    <w:name w:val="Normal+4"/>
    <w:basedOn w:val="Default"/>
    <w:next w:val="Default"/>
    <w:uiPriority w:val="99"/>
    <w:rsid w:val="0068733A"/>
    <w:rPr>
      <w:rFonts w:ascii="Times New Roman" w:hAnsi="Times New Roman" w:cs="Times New Roman"/>
      <w:color w:val="auto"/>
    </w:rPr>
  </w:style>
  <w:style w:type="paragraph" w:customStyle="1" w:styleId="BodyText21">
    <w:name w:val="Body Text 2+1"/>
    <w:basedOn w:val="Default"/>
    <w:next w:val="Default"/>
    <w:uiPriority w:val="99"/>
    <w:rsid w:val="0068733A"/>
    <w:rPr>
      <w:rFonts w:ascii="Times New Roman" w:hAnsi="Times New Roman" w:cs="Times New Roman"/>
      <w:color w:val="auto"/>
    </w:rPr>
  </w:style>
  <w:style w:type="paragraph" w:customStyle="1" w:styleId="Normal5">
    <w:name w:val="Normal+5"/>
    <w:basedOn w:val="Default"/>
    <w:next w:val="Default"/>
    <w:uiPriority w:val="99"/>
    <w:rsid w:val="0068733A"/>
    <w:rPr>
      <w:rFonts w:ascii="Times New Roman" w:hAnsi="Times New Roman" w:cs="Times New Roman"/>
      <w:color w:val="auto"/>
    </w:rPr>
  </w:style>
  <w:style w:type="paragraph" w:customStyle="1" w:styleId="Normal3">
    <w:name w:val="Normal+3"/>
    <w:basedOn w:val="Default"/>
    <w:next w:val="Default"/>
    <w:uiPriority w:val="99"/>
    <w:rsid w:val="0068733A"/>
    <w:rPr>
      <w:rFonts w:ascii="Times New Roman" w:hAnsi="Times New Roman" w:cs="Times New Roman"/>
      <w:color w:val="auto"/>
    </w:rPr>
  </w:style>
  <w:style w:type="paragraph" w:customStyle="1" w:styleId="Normal2">
    <w:name w:val="Normal+2"/>
    <w:basedOn w:val="Default"/>
    <w:next w:val="Default"/>
    <w:uiPriority w:val="99"/>
    <w:rsid w:val="0068733A"/>
    <w:rPr>
      <w:rFonts w:ascii="Times New Roman" w:hAnsi="Times New Roman" w:cs="Times New Roman"/>
      <w:color w:val="auto"/>
    </w:rPr>
  </w:style>
  <w:style w:type="table" w:styleId="TableGrid">
    <w:name w:val="Table Grid"/>
    <w:basedOn w:val="TableNormal"/>
    <w:uiPriority w:val="59"/>
    <w:rsid w:val="0068733A"/>
    <w:pPr>
      <w:spacing w:after="0" w:line="240" w:lineRule="auto"/>
    </w:pPr>
    <w:rPr>
      <w:rFonts w:ascii="Times New Roman" w:eastAsia="PMingLiU"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700517"/>
    <w:rPr>
      <w:sz w:val="16"/>
      <w:szCs w:val="16"/>
    </w:rPr>
  </w:style>
  <w:style w:type="paragraph" w:styleId="CommentText">
    <w:name w:val="annotation text"/>
    <w:basedOn w:val="Normal"/>
    <w:link w:val="CommentTextChar"/>
    <w:uiPriority w:val="99"/>
    <w:semiHidden/>
    <w:unhideWhenUsed/>
    <w:rsid w:val="00700517"/>
    <w:rPr>
      <w:sz w:val="20"/>
      <w:szCs w:val="20"/>
    </w:rPr>
  </w:style>
  <w:style w:type="character" w:customStyle="1" w:styleId="CommentTextChar">
    <w:name w:val="Comment Text Char"/>
    <w:basedOn w:val="DefaultParagraphFont"/>
    <w:link w:val="CommentText"/>
    <w:uiPriority w:val="99"/>
    <w:semiHidden/>
    <w:rsid w:val="007005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0517"/>
    <w:rPr>
      <w:b/>
      <w:bCs/>
    </w:rPr>
  </w:style>
  <w:style w:type="character" w:customStyle="1" w:styleId="CommentSubjectChar">
    <w:name w:val="Comment Subject Char"/>
    <w:basedOn w:val="CommentTextChar"/>
    <w:link w:val="CommentSubject"/>
    <w:uiPriority w:val="99"/>
    <w:semiHidden/>
    <w:rsid w:val="00700517"/>
    <w:rPr>
      <w:rFonts w:ascii="Times New Roman" w:eastAsia="Times New Roman" w:hAnsi="Times New Roman" w:cs="Times New Roman"/>
      <w:b/>
      <w:bCs/>
      <w:sz w:val="20"/>
      <w:szCs w:val="20"/>
    </w:rPr>
  </w:style>
  <w:style w:type="character" w:customStyle="1" w:styleId="ListParagraphChar">
    <w:name w:val="List Paragraph Char"/>
    <w:aliases w:val="Body of text Char"/>
    <w:link w:val="ListParagraph"/>
    <w:uiPriority w:val="34"/>
    <w:locked/>
    <w:rsid w:val="00AF630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443520">
      <w:bodyDiv w:val="1"/>
      <w:marLeft w:val="0"/>
      <w:marRight w:val="0"/>
      <w:marTop w:val="0"/>
      <w:marBottom w:val="0"/>
      <w:divBdr>
        <w:top w:val="none" w:sz="0" w:space="0" w:color="auto"/>
        <w:left w:val="none" w:sz="0" w:space="0" w:color="auto"/>
        <w:bottom w:val="none" w:sz="0" w:space="0" w:color="auto"/>
        <w:right w:val="none" w:sz="0" w:space="0" w:color="auto"/>
      </w:divBdr>
    </w:div>
    <w:div w:id="1629126452">
      <w:bodyDiv w:val="1"/>
      <w:marLeft w:val="0"/>
      <w:marRight w:val="0"/>
      <w:marTop w:val="0"/>
      <w:marBottom w:val="0"/>
      <w:divBdr>
        <w:top w:val="none" w:sz="0" w:space="0" w:color="auto"/>
        <w:left w:val="none" w:sz="0" w:space="0" w:color="auto"/>
        <w:bottom w:val="none" w:sz="0" w:space="0" w:color="auto"/>
        <w:right w:val="none" w:sz="0" w:space="0" w:color="auto"/>
      </w:divBdr>
      <w:divsChild>
        <w:div w:id="935095483">
          <w:marLeft w:val="0"/>
          <w:marRight w:val="0"/>
          <w:marTop w:val="0"/>
          <w:marBottom w:val="0"/>
          <w:divBdr>
            <w:top w:val="none" w:sz="0" w:space="0" w:color="auto"/>
            <w:left w:val="none" w:sz="0" w:space="0" w:color="auto"/>
            <w:bottom w:val="none" w:sz="0" w:space="0" w:color="auto"/>
            <w:right w:val="none" w:sz="0" w:space="0" w:color="auto"/>
          </w:divBdr>
          <w:divsChild>
            <w:div w:id="399446329">
              <w:marLeft w:val="0"/>
              <w:marRight w:val="60"/>
              <w:marTop w:val="0"/>
              <w:marBottom w:val="0"/>
              <w:divBdr>
                <w:top w:val="none" w:sz="0" w:space="0" w:color="auto"/>
                <w:left w:val="none" w:sz="0" w:space="0" w:color="auto"/>
                <w:bottom w:val="none" w:sz="0" w:space="0" w:color="auto"/>
                <w:right w:val="none" w:sz="0" w:space="0" w:color="auto"/>
              </w:divBdr>
              <w:divsChild>
                <w:div w:id="1000500375">
                  <w:marLeft w:val="0"/>
                  <w:marRight w:val="0"/>
                  <w:marTop w:val="0"/>
                  <w:marBottom w:val="120"/>
                  <w:divBdr>
                    <w:top w:val="single" w:sz="6" w:space="0" w:color="C0C0C0"/>
                    <w:left w:val="single" w:sz="6" w:space="0" w:color="D9D9D9"/>
                    <w:bottom w:val="single" w:sz="6" w:space="0" w:color="D9D9D9"/>
                    <w:right w:val="single" w:sz="6" w:space="0" w:color="D9D9D9"/>
                  </w:divBdr>
                  <w:divsChild>
                    <w:div w:id="75270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93253">
          <w:marLeft w:val="0"/>
          <w:marRight w:val="0"/>
          <w:marTop w:val="0"/>
          <w:marBottom w:val="0"/>
          <w:divBdr>
            <w:top w:val="none" w:sz="0" w:space="0" w:color="auto"/>
            <w:left w:val="none" w:sz="0" w:space="0" w:color="auto"/>
            <w:bottom w:val="none" w:sz="0" w:space="0" w:color="auto"/>
            <w:right w:val="none" w:sz="0" w:space="0" w:color="auto"/>
          </w:divBdr>
          <w:divsChild>
            <w:div w:id="1219131048">
              <w:marLeft w:val="60"/>
              <w:marRight w:val="0"/>
              <w:marTop w:val="0"/>
              <w:marBottom w:val="0"/>
              <w:divBdr>
                <w:top w:val="none" w:sz="0" w:space="0" w:color="auto"/>
                <w:left w:val="none" w:sz="0" w:space="0" w:color="auto"/>
                <w:bottom w:val="none" w:sz="0" w:space="0" w:color="auto"/>
                <w:right w:val="none" w:sz="0" w:space="0" w:color="auto"/>
              </w:divBdr>
              <w:divsChild>
                <w:div w:id="1999840304">
                  <w:marLeft w:val="0"/>
                  <w:marRight w:val="0"/>
                  <w:marTop w:val="0"/>
                  <w:marBottom w:val="0"/>
                  <w:divBdr>
                    <w:top w:val="none" w:sz="0" w:space="0" w:color="auto"/>
                    <w:left w:val="none" w:sz="0" w:space="0" w:color="auto"/>
                    <w:bottom w:val="none" w:sz="0" w:space="0" w:color="auto"/>
                    <w:right w:val="none" w:sz="0" w:space="0" w:color="auto"/>
                  </w:divBdr>
                  <w:divsChild>
                    <w:div w:id="1901596906">
                      <w:marLeft w:val="0"/>
                      <w:marRight w:val="0"/>
                      <w:marTop w:val="0"/>
                      <w:marBottom w:val="120"/>
                      <w:divBdr>
                        <w:top w:val="single" w:sz="6" w:space="0" w:color="F5F5F5"/>
                        <w:left w:val="single" w:sz="6" w:space="0" w:color="F5F5F5"/>
                        <w:bottom w:val="single" w:sz="6" w:space="0" w:color="F5F5F5"/>
                        <w:right w:val="single" w:sz="6" w:space="0" w:color="F5F5F5"/>
                      </w:divBdr>
                      <w:divsChild>
                        <w:div w:id="455488982">
                          <w:marLeft w:val="0"/>
                          <w:marRight w:val="0"/>
                          <w:marTop w:val="0"/>
                          <w:marBottom w:val="0"/>
                          <w:divBdr>
                            <w:top w:val="none" w:sz="0" w:space="0" w:color="auto"/>
                            <w:left w:val="none" w:sz="0" w:space="0" w:color="auto"/>
                            <w:bottom w:val="none" w:sz="0" w:space="0" w:color="auto"/>
                            <w:right w:val="none" w:sz="0" w:space="0" w:color="auto"/>
                          </w:divBdr>
                          <w:divsChild>
                            <w:div w:id="20533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C3C44-126A-461C-A7D8-59193128F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11001</Words>
  <Characters>62707</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dc:creator>
  <cp:lastModifiedBy>ASUS</cp:lastModifiedBy>
  <cp:revision>2</cp:revision>
  <cp:lastPrinted>2019-02-07T14:21:00Z</cp:lastPrinted>
  <dcterms:created xsi:type="dcterms:W3CDTF">2021-12-19T22:54:00Z</dcterms:created>
  <dcterms:modified xsi:type="dcterms:W3CDTF">2021-12-19T22:54:00Z</dcterms:modified>
</cp:coreProperties>
</file>