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FE6" w:rsidRDefault="00497FE6" w:rsidP="00497FE6">
      <w:pPr>
        <w:spacing w:before="0" w:line="240" w:lineRule="auto"/>
        <w:ind w:left="90" w:firstLine="0"/>
        <w:jc w:val="center"/>
        <w:rPr>
          <w:rFonts w:ascii="Centaur" w:eastAsia="Calibri" w:hAnsi="Centaur"/>
          <w:b/>
          <w:sz w:val="32"/>
          <w:szCs w:val="32"/>
          <w:lang w:val="sv-SE"/>
        </w:rPr>
      </w:pPr>
      <w:r w:rsidRPr="00497FE6">
        <w:rPr>
          <w:rFonts w:ascii="Centaur" w:eastAsia="Calibri" w:hAnsi="Centaur"/>
          <w:b/>
          <w:sz w:val="32"/>
          <w:szCs w:val="32"/>
          <w:lang w:val="sv-SE"/>
        </w:rPr>
        <w:t>Covid-19 Pandemic Moderating The Influence o</w:t>
      </w:r>
      <w:r w:rsidR="000F7DC4">
        <w:rPr>
          <w:rFonts w:ascii="Centaur" w:eastAsia="Calibri" w:hAnsi="Centaur"/>
          <w:b/>
          <w:sz w:val="32"/>
          <w:szCs w:val="32"/>
          <w:lang w:val="sv-SE"/>
        </w:rPr>
        <w:t>f Competence, Work Motivation a</w:t>
      </w:r>
      <w:r w:rsidRPr="00497FE6">
        <w:rPr>
          <w:rFonts w:ascii="Centaur" w:eastAsia="Calibri" w:hAnsi="Centaur"/>
          <w:b/>
          <w:sz w:val="32"/>
          <w:szCs w:val="32"/>
          <w:lang w:val="sv-SE"/>
        </w:rPr>
        <w:t>nd Entrepreneurship Orientation on Business Performance and Sharia Perspective</w:t>
      </w:r>
    </w:p>
    <w:p w:rsidR="000E5369" w:rsidRDefault="000E5369" w:rsidP="00497FE6">
      <w:pPr>
        <w:spacing w:before="0" w:line="240" w:lineRule="auto"/>
        <w:ind w:left="90" w:firstLine="0"/>
        <w:jc w:val="center"/>
        <w:rPr>
          <w:rFonts w:ascii="Centaur" w:eastAsia="Calibri" w:hAnsi="Centaur"/>
          <w:b/>
          <w:color w:val="000000" w:themeColor="text1"/>
          <w:sz w:val="32"/>
          <w:szCs w:val="32"/>
          <w:lang w:val="sv-SE"/>
        </w:rPr>
      </w:pPr>
    </w:p>
    <w:p w:rsidR="00890049" w:rsidRPr="00BB3C46" w:rsidRDefault="00890049" w:rsidP="00497FE6">
      <w:pPr>
        <w:spacing w:before="0" w:line="240" w:lineRule="auto"/>
        <w:ind w:left="90" w:firstLine="0"/>
        <w:jc w:val="center"/>
        <w:rPr>
          <w:rFonts w:ascii="Centaur" w:eastAsia="Calibri" w:hAnsi="Centaur"/>
          <w:b/>
          <w:color w:val="000000" w:themeColor="text1"/>
          <w:sz w:val="32"/>
          <w:szCs w:val="32"/>
          <w:lang w:val="sv-SE"/>
        </w:rPr>
      </w:pPr>
    </w:p>
    <w:p w:rsidR="000E5369" w:rsidRPr="00001F1B" w:rsidRDefault="00BB3C46" w:rsidP="00497FE6">
      <w:pPr>
        <w:spacing w:before="0" w:line="240" w:lineRule="auto"/>
        <w:ind w:left="90" w:firstLine="0"/>
        <w:jc w:val="center"/>
        <w:rPr>
          <w:rFonts w:ascii="Centaur" w:hAnsi="Centaur" w:cs="Tahoma"/>
          <w:b/>
          <w:color w:val="000000" w:themeColor="text1"/>
          <w:sz w:val="28"/>
          <w:szCs w:val="28"/>
          <w:shd w:val="clear" w:color="auto" w:fill="FFFFFF"/>
          <w:lang w:val="en-US"/>
        </w:rPr>
      </w:pPr>
      <w:r w:rsidRPr="00001F1B">
        <w:rPr>
          <w:rFonts w:ascii="Centaur" w:hAnsi="Centaur" w:cs="Tahoma"/>
          <w:b/>
          <w:color w:val="000000" w:themeColor="text1"/>
          <w:sz w:val="28"/>
          <w:szCs w:val="28"/>
          <w:shd w:val="clear" w:color="auto" w:fill="FFFFFF"/>
        </w:rPr>
        <w:t>Sarwani Sarwani</w:t>
      </w:r>
      <w:r w:rsidRPr="00001F1B">
        <w:rPr>
          <w:rFonts w:ascii="Centaur" w:hAnsi="Centaur" w:cs="Tahoma"/>
          <w:b/>
          <w:color w:val="000000" w:themeColor="text1"/>
          <w:sz w:val="28"/>
          <w:szCs w:val="28"/>
          <w:shd w:val="clear" w:color="auto" w:fill="FFFFFF"/>
          <w:vertAlign w:val="superscript"/>
          <w:lang w:val="en-US"/>
        </w:rPr>
        <w:t>1</w:t>
      </w:r>
      <w:r w:rsidRPr="00001F1B">
        <w:rPr>
          <w:rFonts w:ascii="Centaur" w:hAnsi="Centaur" w:cs="Tahoma"/>
          <w:b/>
          <w:color w:val="000000" w:themeColor="text1"/>
          <w:sz w:val="28"/>
          <w:szCs w:val="28"/>
          <w:shd w:val="clear" w:color="auto" w:fill="FFFFFF"/>
        </w:rPr>
        <w:t>, Heru Suprihhadi</w:t>
      </w:r>
      <w:r w:rsidRPr="00001F1B">
        <w:rPr>
          <w:rFonts w:ascii="Centaur" w:hAnsi="Centaur" w:cs="Tahoma"/>
          <w:b/>
          <w:color w:val="000000" w:themeColor="text1"/>
          <w:sz w:val="28"/>
          <w:szCs w:val="28"/>
          <w:shd w:val="clear" w:color="auto" w:fill="FFFFFF"/>
          <w:vertAlign w:val="superscript"/>
          <w:lang w:val="en-US"/>
        </w:rPr>
        <w:t>2</w:t>
      </w:r>
      <w:r w:rsidRPr="00001F1B">
        <w:rPr>
          <w:rFonts w:ascii="Centaur" w:hAnsi="Centaur" w:cs="Tahoma"/>
          <w:b/>
          <w:color w:val="000000" w:themeColor="text1"/>
          <w:sz w:val="28"/>
          <w:szCs w:val="28"/>
          <w:shd w:val="clear" w:color="auto" w:fill="FFFFFF"/>
        </w:rPr>
        <w:t>, Dian Feriswara</w:t>
      </w:r>
      <w:r w:rsidRPr="00001F1B">
        <w:rPr>
          <w:rFonts w:ascii="Centaur" w:hAnsi="Centaur" w:cs="Tahoma"/>
          <w:b/>
          <w:color w:val="000000" w:themeColor="text1"/>
          <w:sz w:val="28"/>
          <w:szCs w:val="28"/>
          <w:shd w:val="clear" w:color="auto" w:fill="FFFFFF"/>
          <w:vertAlign w:val="superscript"/>
          <w:lang w:val="en-US"/>
        </w:rPr>
        <w:t>3</w:t>
      </w:r>
      <w:r w:rsidRPr="00001F1B">
        <w:rPr>
          <w:rFonts w:ascii="Centaur" w:hAnsi="Centaur" w:cs="Tahoma"/>
          <w:b/>
          <w:color w:val="000000" w:themeColor="text1"/>
          <w:sz w:val="28"/>
          <w:szCs w:val="28"/>
          <w:shd w:val="clear" w:color="auto" w:fill="FFFFFF"/>
        </w:rPr>
        <w:t>, Damajanti Sri Lestari</w:t>
      </w:r>
      <w:r w:rsidRPr="00001F1B">
        <w:rPr>
          <w:rFonts w:ascii="Centaur" w:hAnsi="Centaur" w:cs="Tahoma"/>
          <w:b/>
          <w:color w:val="000000" w:themeColor="text1"/>
          <w:sz w:val="28"/>
          <w:szCs w:val="28"/>
          <w:shd w:val="clear" w:color="auto" w:fill="FFFFFF"/>
          <w:vertAlign w:val="superscript"/>
          <w:lang w:val="en-US"/>
        </w:rPr>
        <w:t>4</w:t>
      </w:r>
      <w:r w:rsidRPr="00001F1B">
        <w:rPr>
          <w:rFonts w:ascii="Centaur" w:hAnsi="Centaur" w:cs="Tahoma"/>
          <w:b/>
          <w:color w:val="000000" w:themeColor="text1"/>
          <w:sz w:val="28"/>
          <w:szCs w:val="28"/>
          <w:shd w:val="clear" w:color="auto" w:fill="FFFFFF"/>
        </w:rPr>
        <w:t>, Liling Listyawati</w:t>
      </w:r>
      <w:r w:rsidRPr="00001F1B">
        <w:rPr>
          <w:rFonts w:ascii="Centaur" w:hAnsi="Centaur" w:cs="Tahoma"/>
          <w:b/>
          <w:color w:val="000000" w:themeColor="text1"/>
          <w:sz w:val="28"/>
          <w:szCs w:val="28"/>
          <w:shd w:val="clear" w:color="auto" w:fill="FFFFFF"/>
          <w:vertAlign w:val="superscript"/>
          <w:lang w:val="en-US"/>
        </w:rPr>
        <w:t>5</w:t>
      </w:r>
    </w:p>
    <w:p w:rsidR="00BB3C46" w:rsidRPr="00001F1B" w:rsidRDefault="00BB3C46" w:rsidP="00497FE6">
      <w:pPr>
        <w:spacing w:before="0" w:line="240" w:lineRule="auto"/>
        <w:ind w:left="90" w:firstLine="0"/>
        <w:jc w:val="center"/>
        <w:rPr>
          <w:rFonts w:ascii="Centaur" w:eastAsia="Calibri" w:hAnsi="Centaur"/>
          <w:b/>
          <w:color w:val="000000" w:themeColor="text1"/>
          <w:sz w:val="24"/>
          <w:szCs w:val="24"/>
          <w:lang w:val="en-US"/>
        </w:rPr>
      </w:pPr>
      <w:r w:rsidRPr="00001F1B">
        <w:rPr>
          <w:rFonts w:ascii="Centaur" w:eastAsia="Calibri" w:hAnsi="Centaur"/>
          <w:b/>
          <w:color w:val="000000" w:themeColor="text1"/>
          <w:sz w:val="24"/>
          <w:szCs w:val="24"/>
          <w:lang w:val="en-US"/>
        </w:rPr>
        <w:t>Universitas Dr. Soetomo Surabaya</w:t>
      </w:r>
      <w:r w:rsidRPr="00001F1B">
        <w:rPr>
          <w:rFonts w:ascii="Centaur" w:eastAsia="Calibri" w:hAnsi="Centaur"/>
          <w:b/>
          <w:color w:val="000000" w:themeColor="text1"/>
          <w:sz w:val="24"/>
          <w:szCs w:val="24"/>
          <w:vertAlign w:val="superscript"/>
          <w:lang w:val="en-US"/>
        </w:rPr>
        <w:t>1,3,4,5</w:t>
      </w:r>
      <w:r w:rsidRPr="00001F1B">
        <w:rPr>
          <w:rFonts w:ascii="Centaur" w:eastAsia="Calibri" w:hAnsi="Centaur"/>
          <w:b/>
          <w:color w:val="000000" w:themeColor="text1"/>
          <w:sz w:val="24"/>
          <w:szCs w:val="24"/>
          <w:lang w:val="en-US"/>
        </w:rPr>
        <w:t>, Sekolah Tinggi Ilmu Ekonomi Indonesia (STIESIA) Surabaya</w:t>
      </w:r>
      <w:r w:rsidRPr="00001F1B">
        <w:rPr>
          <w:rFonts w:ascii="Centaur" w:eastAsia="Calibri" w:hAnsi="Centaur"/>
          <w:b/>
          <w:color w:val="000000" w:themeColor="text1"/>
          <w:sz w:val="24"/>
          <w:szCs w:val="24"/>
          <w:vertAlign w:val="superscript"/>
          <w:lang w:val="en-US"/>
        </w:rPr>
        <w:t>2</w:t>
      </w:r>
    </w:p>
    <w:p w:rsidR="00BB3C46" w:rsidRPr="00001F1B" w:rsidRDefault="008E716B" w:rsidP="00BB3C46">
      <w:pPr>
        <w:spacing w:before="0" w:line="240" w:lineRule="auto"/>
        <w:ind w:left="90" w:firstLine="0"/>
        <w:jc w:val="center"/>
        <w:rPr>
          <w:rFonts w:ascii="Centaur" w:eastAsia="Calibri" w:hAnsi="Centaur"/>
          <w:b/>
          <w:i/>
          <w:color w:val="000000" w:themeColor="text1"/>
          <w:sz w:val="24"/>
          <w:szCs w:val="24"/>
          <w:lang w:val="en-US"/>
        </w:rPr>
      </w:pPr>
      <w:hyperlink r:id="rId8" w:history="1">
        <w:r w:rsidR="00BB3C46" w:rsidRPr="00001F1B">
          <w:rPr>
            <w:rStyle w:val="Hyperlink"/>
            <w:rFonts w:ascii="Centaur" w:eastAsia="Calibri" w:hAnsi="Centaur"/>
            <w:b/>
            <w:i/>
            <w:sz w:val="24"/>
            <w:szCs w:val="24"/>
            <w:lang w:val="en-US"/>
          </w:rPr>
          <w:t>sarwani@unitomo.ac.id</w:t>
        </w:r>
        <w:r w:rsidR="00BB3C46" w:rsidRPr="00001F1B">
          <w:rPr>
            <w:rStyle w:val="Hyperlink"/>
            <w:rFonts w:ascii="Centaur" w:eastAsia="Calibri" w:hAnsi="Centaur"/>
            <w:b/>
            <w:i/>
            <w:sz w:val="24"/>
            <w:szCs w:val="24"/>
            <w:vertAlign w:val="superscript"/>
            <w:lang w:val="en-US"/>
          </w:rPr>
          <w:t>1</w:t>
        </w:r>
      </w:hyperlink>
      <w:r w:rsidR="00BB3C46" w:rsidRPr="00001F1B">
        <w:rPr>
          <w:rFonts w:ascii="Centaur" w:eastAsia="Calibri" w:hAnsi="Centaur"/>
          <w:b/>
          <w:i/>
          <w:color w:val="000000" w:themeColor="text1"/>
          <w:sz w:val="24"/>
          <w:szCs w:val="24"/>
          <w:lang w:val="en-US"/>
        </w:rPr>
        <w:t xml:space="preserve">, </w:t>
      </w:r>
      <w:hyperlink r:id="rId9" w:history="1">
        <w:r w:rsidR="00BB3C46" w:rsidRPr="00001F1B">
          <w:rPr>
            <w:rStyle w:val="Hyperlink"/>
            <w:rFonts w:ascii="Centaur" w:eastAsia="Calibri" w:hAnsi="Centaur"/>
            <w:b/>
            <w:i/>
            <w:sz w:val="24"/>
            <w:szCs w:val="24"/>
            <w:lang w:val="en-US"/>
          </w:rPr>
          <w:t>herusuprihhadi@stiesia.ac.id</w:t>
        </w:r>
        <w:r w:rsidR="00BB3C46" w:rsidRPr="00001F1B">
          <w:rPr>
            <w:rStyle w:val="Hyperlink"/>
            <w:rFonts w:ascii="Centaur" w:eastAsia="Calibri" w:hAnsi="Centaur"/>
            <w:b/>
            <w:i/>
            <w:sz w:val="24"/>
            <w:szCs w:val="24"/>
            <w:vertAlign w:val="superscript"/>
            <w:lang w:val="en-US"/>
          </w:rPr>
          <w:t>2</w:t>
        </w:r>
      </w:hyperlink>
      <w:r w:rsidR="00BB3C46" w:rsidRPr="00001F1B">
        <w:rPr>
          <w:rFonts w:ascii="Centaur" w:eastAsia="Calibri" w:hAnsi="Centaur"/>
          <w:b/>
          <w:i/>
          <w:color w:val="000000" w:themeColor="text1"/>
          <w:sz w:val="24"/>
          <w:szCs w:val="24"/>
          <w:lang w:val="en-US"/>
        </w:rPr>
        <w:t xml:space="preserve">, </w:t>
      </w:r>
      <w:hyperlink r:id="rId10" w:history="1">
        <w:r w:rsidR="00BB3C46" w:rsidRPr="00001F1B">
          <w:rPr>
            <w:rStyle w:val="Hyperlink"/>
            <w:rFonts w:ascii="Centaur" w:eastAsia="Calibri" w:hAnsi="Centaur"/>
            <w:b/>
            <w:i/>
            <w:sz w:val="24"/>
            <w:szCs w:val="24"/>
            <w:lang w:val="en-US"/>
          </w:rPr>
          <w:t>dianferriswara@unitomo.ac.id</w:t>
        </w:r>
        <w:r w:rsidR="00BB3C46" w:rsidRPr="00001F1B">
          <w:rPr>
            <w:rStyle w:val="Hyperlink"/>
            <w:rFonts w:ascii="Centaur" w:eastAsia="Calibri" w:hAnsi="Centaur"/>
            <w:b/>
            <w:i/>
            <w:sz w:val="24"/>
            <w:szCs w:val="24"/>
            <w:vertAlign w:val="superscript"/>
            <w:lang w:val="en-US"/>
          </w:rPr>
          <w:t>3</w:t>
        </w:r>
      </w:hyperlink>
      <w:r w:rsidR="00BB3C46" w:rsidRPr="00001F1B">
        <w:rPr>
          <w:rFonts w:ascii="Centaur" w:eastAsia="Calibri" w:hAnsi="Centaur"/>
          <w:b/>
          <w:i/>
          <w:color w:val="000000" w:themeColor="text1"/>
          <w:sz w:val="24"/>
          <w:szCs w:val="24"/>
          <w:lang w:val="en-US"/>
        </w:rPr>
        <w:t xml:space="preserve">, </w:t>
      </w:r>
      <w:hyperlink r:id="rId11" w:history="1">
        <w:r w:rsidR="00BB3C46" w:rsidRPr="00001F1B">
          <w:rPr>
            <w:rStyle w:val="Hyperlink"/>
            <w:rFonts w:ascii="Centaur" w:eastAsia="Calibri" w:hAnsi="Centaur"/>
            <w:b/>
            <w:i/>
            <w:sz w:val="24"/>
            <w:szCs w:val="24"/>
            <w:lang w:val="en-US"/>
          </w:rPr>
          <w:t>damajanti.sri@unitomo.ac.id</w:t>
        </w:r>
        <w:r w:rsidR="00BB3C46" w:rsidRPr="00001F1B">
          <w:rPr>
            <w:rStyle w:val="Hyperlink"/>
            <w:rFonts w:ascii="Centaur" w:eastAsia="Calibri" w:hAnsi="Centaur"/>
            <w:b/>
            <w:i/>
            <w:sz w:val="24"/>
            <w:szCs w:val="24"/>
            <w:vertAlign w:val="superscript"/>
            <w:lang w:val="en-US"/>
          </w:rPr>
          <w:t>4</w:t>
        </w:r>
      </w:hyperlink>
      <w:r w:rsidR="00BB3C46" w:rsidRPr="00001F1B">
        <w:rPr>
          <w:rFonts w:ascii="Centaur" w:eastAsia="Calibri" w:hAnsi="Centaur"/>
          <w:b/>
          <w:i/>
          <w:color w:val="000000" w:themeColor="text1"/>
          <w:sz w:val="24"/>
          <w:szCs w:val="24"/>
          <w:lang w:val="en-US"/>
        </w:rPr>
        <w:t xml:space="preserve">, </w:t>
      </w:r>
      <w:hyperlink r:id="rId12" w:history="1">
        <w:r w:rsidR="00BB3C46" w:rsidRPr="00001F1B">
          <w:rPr>
            <w:rStyle w:val="Hyperlink"/>
            <w:rFonts w:ascii="Centaur" w:eastAsia="Calibri" w:hAnsi="Centaur"/>
            <w:b/>
            <w:i/>
            <w:sz w:val="24"/>
            <w:szCs w:val="24"/>
            <w:lang w:val="en-US"/>
          </w:rPr>
          <w:t>liling.listyawati@unitomo.ac.id</w:t>
        </w:r>
        <w:r w:rsidR="00BB3C46" w:rsidRPr="00001F1B">
          <w:rPr>
            <w:rStyle w:val="Hyperlink"/>
            <w:rFonts w:ascii="Centaur" w:eastAsia="Calibri" w:hAnsi="Centaur"/>
            <w:b/>
            <w:i/>
            <w:sz w:val="24"/>
            <w:szCs w:val="24"/>
            <w:vertAlign w:val="superscript"/>
            <w:lang w:val="en-US"/>
          </w:rPr>
          <w:t>5</w:t>
        </w:r>
      </w:hyperlink>
      <w:r w:rsidR="00BB3C46" w:rsidRPr="00001F1B">
        <w:rPr>
          <w:rFonts w:ascii="Centaur" w:eastAsia="Calibri" w:hAnsi="Centaur"/>
          <w:b/>
          <w:i/>
          <w:color w:val="000000" w:themeColor="text1"/>
          <w:sz w:val="24"/>
          <w:szCs w:val="24"/>
          <w:lang w:val="en-US"/>
        </w:rPr>
        <w:t xml:space="preserve">  </w:t>
      </w:r>
    </w:p>
    <w:p w:rsidR="00BB3C46" w:rsidRPr="00BB3C46" w:rsidRDefault="00BB3C46" w:rsidP="00497FE6">
      <w:pPr>
        <w:spacing w:before="0" w:line="240" w:lineRule="auto"/>
        <w:ind w:left="90" w:firstLine="0"/>
        <w:jc w:val="center"/>
        <w:rPr>
          <w:rFonts w:ascii="Centaur" w:eastAsia="Calibri" w:hAnsi="Centaur"/>
          <w:b/>
          <w:color w:val="000000" w:themeColor="text1"/>
          <w:sz w:val="24"/>
          <w:szCs w:val="24"/>
          <w:lang w:val="en-US"/>
        </w:rPr>
      </w:pPr>
    </w:p>
    <w:p w:rsidR="00497FE6" w:rsidRDefault="00497FE6" w:rsidP="00497FE6">
      <w:pPr>
        <w:spacing w:before="0" w:line="240" w:lineRule="auto"/>
        <w:jc w:val="center"/>
        <w:rPr>
          <w:rFonts w:ascii="Centaur" w:hAnsi="Centaur"/>
          <w:color w:val="FF0000"/>
          <w:sz w:val="28"/>
          <w:szCs w:val="28"/>
          <w:lang w:val="en-US"/>
        </w:rPr>
      </w:pPr>
    </w:p>
    <w:p w:rsidR="00890049" w:rsidRPr="00890049" w:rsidRDefault="00890049" w:rsidP="00497FE6">
      <w:pPr>
        <w:spacing w:before="0" w:line="240" w:lineRule="auto"/>
        <w:jc w:val="center"/>
        <w:rPr>
          <w:rFonts w:ascii="Centaur" w:hAnsi="Centaur"/>
          <w:color w:val="FF0000"/>
          <w:sz w:val="28"/>
          <w:szCs w:val="28"/>
          <w:lang w:val="en-US"/>
        </w:rPr>
      </w:pPr>
    </w:p>
    <w:p w:rsidR="00497FE6" w:rsidRPr="00EA3CF1" w:rsidRDefault="00497FE6" w:rsidP="00497FE6">
      <w:pPr>
        <w:spacing w:before="0" w:line="240" w:lineRule="auto"/>
        <w:ind w:left="720" w:hanging="3"/>
        <w:rPr>
          <w:rFonts w:ascii="Centaur" w:hAnsi="Centaur"/>
          <w:b/>
          <w:bCs/>
          <w:i/>
          <w:sz w:val="28"/>
          <w:szCs w:val="28"/>
        </w:rPr>
      </w:pPr>
      <w:r w:rsidRPr="00EA3CF1">
        <w:rPr>
          <w:rFonts w:ascii="Centaur" w:hAnsi="Centaur"/>
          <w:b/>
          <w:bCs/>
          <w:i/>
          <w:sz w:val="28"/>
          <w:szCs w:val="28"/>
        </w:rPr>
        <w:t>ABSTRACT</w:t>
      </w:r>
    </w:p>
    <w:p w:rsidR="00497FE6" w:rsidRPr="00497FE6" w:rsidRDefault="00497FE6" w:rsidP="00497FE6">
      <w:pPr>
        <w:spacing w:before="0" w:line="240" w:lineRule="auto"/>
        <w:ind w:left="720" w:firstLine="0"/>
        <w:jc w:val="both"/>
        <w:rPr>
          <w:rStyle w:val="Emphasis"/>
          <w:rFonts w:ascii="Centaur" w:hAnsi="Centaur"/>
          <w:i w:val="0"/>
          <w:sz w:val="24"/>
          <w:szCs w:val="24"/>
          <w:lang w:val="en-US"/>
        </w:rPr>
      </w:pPr>
      <w:r w:rsidRPr="00497FE6">
        <w:rPr>
          <w:rStyle w:val="Emphasis"/>
          <w:rFonts w:ascii="Centaur" w:hAnsi="Centaur"/>
          <w:sz w:val="24"/>
          <w:szCs w:val="24"/>
        </w:rPr>
        <w:t xml:space="preserve">The purpose of the article to analyze and empirically provethat the COVID-19 pandemic moderates the effect of competence, work motivation, and entrepreneurial orientation towards the business performance of </w:t>
      </w:r>
      <w:r w:rsidRPr="00497FE6">
        <w:rPr>
          <w:rFonts w:ascii="Centaur" w:hAnsi="Centaur"/>
          <w:bCs/>
          <w:sz w:val="24"/>
          <w:szCs w:val="24"/>
        </w:rPr>
        <w:t>SMEs</w:t>
      </w:r>
      <w:r w:rsidRPr="00497FE6">
        <w:rPr>
          <w:rStyle w:val="Emphasis"/>
          <w:rFonts w:ascii="Centaur" w:hAnsi="Centaur"/>
          <w:sz w:val="24"/>
          <w:szCs w:val="24"/>
        </w:rPr>
        <w:t xml:space="preserve">. This study applies an explanatory approach to explain the causal relationship between variables through the hypothesis testing. Research data was collected by utilizing a questionnaire distributed to 130 </w:t>
      </w:r>
      <w:r w:rsidRPr="00497FE6">
        <w:rPr>
          <w:rFonts w:ascii="Centaur" w:hAnsi="Centaur"/>
          <w:bCs/>
          <w:sz w:val="24"/>
          <w:szCs w:val="24"/>
        </w:rPr>
        <w:t>SMEs and</w:t>
      </w:r>
      <w:r w:rsidRPr="00497FE6">
        <w:rPr>
          <w:rStyle w:val="Emphasis"/>
          <w:rFonts w:ascii="Centaur" w:hAnsi="Centaur"/>
          <w:sz w:val="24"/>
          <w:szCs w:val="24"/>
        </w:rPr>
        <w:t xml:space="preserve"> configured in 44 center groups in the city of Surabaya. Data analysis was conducted by Partial Least Square (PLS) approach.” Theresearch finding indicates that the COVID-19 pandemic as a moderating variable of the influence between variables. However, it turns out that not all the relationships regarding the COVID-19 pandemic are significant or strengthening.The empirical findings from the results of this study indicate that the COVID-19 pandemic has had a </w:t>
      </w:r>
      <w:bookmarkStart w:id="0" w:name="_GoBack"/>
      <w:bookmarkEnd w:id="0"/>
      <w:r w:rsidRPr="00497FE6">
        <w:rPr>
          <w:rStyle w:val="Emphasis"/>
          <w:rFonts w:ascii="Centaur" w:hAnsi="Centaur"/>
          <w:sz w:val="24"/>
          <w:szCs w:val="24"/>
        </w:rPr>
        <w:t>significant effect on competency, entrepreneurial orientation and business performance, as well as demonstrating the effect of entrepreneurial orientation on business performance</w:t>
      </w:r>
      <w:r w:rsidRPr="00497FE6">
        <w:rPr>
          <w:rStyle w:val="Emphasis"/>
          <w:rFonts w:ascii="Centaur" w:hAnsi="Centaur"/>
          <w:color w:val="FF0000"/>
          <w:sz w:val="24"/>
          <w:szCs w:val="24"/>
        </w:rPr>
        <w:t>.</w:t>
      </w:r>
      <w:r w:rsidRPr="00497FE6">
        <w:rPr>
          <w:rStyle w:val="Emphasis"/>
          <w:rFonts w:ascii="Centaur" w:hAnsi="Centaur"/>
          <w:sz w:val="24"/>
          <w:szCs w:val="24"/>
        </w:rPr>
        <w:t>As for the effect of work motivation on entrepreneurial orientation and business performancehas an insignificant effect</w:t>
      </w:r>
    </w:p>
    <w:p w:rsidR="00497FE6" w:rsidRPr="00497FE6" w:rsidRDefault="00497FE6" w:rsidP="00497FE6">
      <w:pPr>
        <w:spacing w:before="0" w:line="240" w:lineRule="auto"/>
        <w:ind w:left="720" w:firstLine="0"/>
        <w:jc w:val="both"/>
        <w:rPr>
          <w:rStyle w:val="Emphasis"/>
          <w:rFonts w:ascii="Centaur" w:hAnsi="Centaur"/>
          <w:i w:val="0"/>
          <w:sz w:val="24"/>
          <w:szCs w:val="24"/>
          <w:lang w:val="en-US"/>
        </w:rPr>
      </w:pPr>
    </w:p>
    <w:p w:rsidR="00497FE6" w:rsidRPr="00497FE6" w:rsidRDefault="00497FE6" w:rsidP="00497FE6">
      <w:pPr>
        <w:spacing w:before="0" w:line="240" w:lineRule="auto"/>
        <w:ind w:left="720" w:firstLine="0"/>
        <w:jc w:val="both"/>
        <w:rPr>
          <w:rStyle w:val="Emphasis"/>
          <w:rFonts w:ascii="Centaur" w:hAnsi="Centaur"/>
          <w:i w:val="0"/>
          <w:sz w:val="24"/>
          <w:szCs w:val="24"/>
        </w:rPr>
      </w:pPr>
      <w:r w:rsidRPr="00497FE6">
        <w:rPr>
          <w:rStyle w:val="Emphasis"/>
          <w:rFonts w:ascii="Centaur" w:hAnsi="Centaur"/>
          <w:b/>
          <w:sz w:val="24"/>
          <w:szCs w:val="24"/>
        </w:rPr>
        <w:t>Keywords</w:t>
      </w:r>
      <w:r w:rsidRPr="00497FE6">
        <w:rPr>
          <w:rStyle w:val="Emphasis"/>
          <w:rFonts w:ascii="Centaur" w:hAnsi="Centaur"/>
          <w:sz w:val="24"/>
          <w:szCs w:val="24"/>
        </w:rPr>
        <w:t>: COVID</w:t>
      </w:r>
      <w:r w:rsidR="00B65881" w:rsidRPr="00497FE6">
        <w:rPr>
          <w:rStyle w:val="Emphasis"/>
          <w:rFonts w:ascii="Centaur" w:hAnsi="Centaur"/>
          <w:sz w:val="24"/>
          <w:szCs w:val="24"/>
        </w:rPr>
        <w:t>-19 Pandemic, Competence, Work Motivation, Entrepreneurial</w:t>
      </w:r>
      <w:r w:rsidR="00B65881" w:rsidRPr="00497FE6">
        <w:rPr>
          <w:rStyle w:val="Emphasis"/>
          <w:rFonts w:ascii="Centaur" w:hAnsi="Centaur"/>
          <w:sz w:val="24"/>
          <w:szCs w:val="24"/>
          <w:lang w:val="en-US"/>
        </w:rPr>
        <w:t xml:space="preserve"> </w:t>
      </w:r>
      <w:r w:rsidR="00B65881">
        <w:rPr>
          <w:rStyle w:val="Emphasis"/>
          <w:rFonts w:ascii="Centaur" w:hAnsi="Centaur"/>
          <w:sz w:val="24"/>
          <w:szCs w:val="24"/>
        </w:rPr>
        <w:t>Orientation,</w:t>
      </w:r>
      <w:r w:rsidR="00B65881">
        <w:rPr>
          <w:rStyle w:val="Emphasis"/>
          <w:rFonts w:ascii="Centaur" w:hAnsi="Centaur"/>
          <w:sz w:val="24"/>
          <w:szCs w:val="24"/>
          <w:lang w:val="en-US"/>
        </w:rPr>
        <w:t xml:space="preserve"> a</w:t>
      </w:r>
      <w:r w:rsidR="00B65881" w:rsidRPr="00497FE6">
        <w:rPr>
          <w:rStyle w:val="Emphasis"/>
          <w:rFonts w:ascii="Centaur" w:hAnsi="Centaur"/>
          <w:sz w:val="24"/>
          <w:szCs w:val="24"/>
        </w:rPr>
        <w:t>nd Business Performance</w:t>
      </w:r>
    </w:p>
    <w:p w:rsidR="00497FE6" w:rsidRPr="00497FE6" w:rsidRDefault="00497FE6" w:rsidP="00497FE6">
      <w:pPr>
        <w:spacing w:before="0" w:line="240" w:lineRule="auto"/>
        <w:ind w:left="1134" w:hanging="1134"/>
        <w:jc w:val="both"/>
        <w:rPr>
          <w:rStyle w:val="Emphasis"/>
          <w:rFonts w:ascii="Centaur" w:hAnsi="Centaur"/>
          <w:i w:val="0"/>
          <w:sz w:val="28"/>
          <w:szCs w:val="28"/>
        </w:rPr>
      </w:pPr>
    </w:p>
    <w:p w:rsidR="00497FE6" w:rsidRPr="00497FE6" w:rsidRDefault="00497FE6" w:rsidP="00497FE6">
      <w:pPr>
        <w:spacing w:before="0" w:line="240" w:lineRule="auto"/>
        <w:ind w:left="1134" w:hanging="1134"/>
        <w:jc w:val="both"/>
        <w:rPr>
          <w:rStyle w:val="Emphasis"/>
          <w:rFonts w:ascii="Centaur" w:hAnsi="Centaur"/>
          <w:i w:val="0"/>
          <w:sz w:val="28"/>
          <w:szCs w:val="28"/>
        </w:rPr>
      </w:pPr>
    </w:p>
    <w:p w:rsidR="00497FE6" w:rsidRPr="000E5369" w:rsidRDefault="00497FE6" w:rsidP="000E5369">
      <w:pPr>
        <w:pStyle w:val="ListParagraph"/>
        <w:widowControl/>
        <w:numPr>
          <w:ilvl w:val="0"/>
          <w:numId w:val="13"/>
        </w:numPr>
        <w:autoSpaceDE/>
        <w:autoSpaceDN/>
        <w:spacing w:before="0" w:line="240" w:lineRule="auto"/>
        <w:ind w:left="540" w:hanging="540"/>
        <w:contextualSpacing/>
        <w:rPr>
          <w:rFonts w:ascii="Centaur" w:hAnsi="Centaur"/>
          <w:b/>
          <w:bCs/>
          <w:sz w:val="28"/>
          <w:szCs w:val="28"/>
        </w:rPr>
      </w:pPr>
      <w:r w:rsidRPr="000E5369">
        <w:rPr>
          <w:rFonts w:ascii="Centaur" w:hAnsi="Centaur"/>
          <w:b/>
          <w:bCs/>
          <w:sz w:val="28"/>
          <w:szCs w:val="28"/>
        </w:rPr>
        <w:t>INTRODUCTION</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The existence of SMEs plays a significant contribution in various aspects of developments in Indonesia. Several contributions in economic and social development to the state and society include import substitution, growing exports, </w:t>
      </w:r>
      <w:r w:rsidRPr="000E5369">
        <w:rPr>
          <w:rFonts w:ascii="Centaur" w:hAnsi="Centaur"/>
          <w:bCs/>
          <w:sz w:val="28"/>
          <w:szCs w:val="28"/>
        </w:rPr>
        <w:lastRenderedPageBreak/>
        <w:t xml:space="preserve">investment, use of local materials, provision of employment (labor absorption), and distribution of regional development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Clapham","given":"Ronald","non-dropping-particle":"","parse-names":false,"suffix":""}],"id":"ITEM-1","issued":{"date-parts":[["1991"]]},"publisher":"LP3ES","publisher-place":"Jakarta","title":"Pengusaha Kecil dan Menengah di Asia Tenggara","translator":[{"dropping-particle":"","family":"Maris","given":"Masri","non-dropping-particle":"","parse-names":false,"suffix":""}],"type":"book"},"uris":["http://www.mendeley.com/documents/?uuid=3eb95999-ee41-42f2-b8f9-cc2b9d9f959b"]}],"mendeley":{"formattedCitation":"(Clapham 1991)","plainTextFormattedCitation":"(Clapham 1991)","previouslyFormattedCitation":"(Clapham 1991)"},"properties":{"noteIndex":0},"schema":"https://github.com/citation-style-language/schema/raw/master/csl-citation.json"}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(Clapham 1991)</w:t>
      </w:r>
      <w:r w:rsidR="008E716B" w:rsidRPr="000E5369">
        <w:rPr>
          <w:rFonts w:ascii="Centaur" w:hAnsi="Centaur"/>
          <w:bCs/>
          <w:sz w:val="28"/>
          <w:szCs w:val="28"/>
        </w:rPr>
        <w:fldChar w:fldCharType="end"/>
      </w:r>
      <w:r w:rsidRPr="000E5369">
        <w:rPr>
          <w:rFonts w:ascii="Centaur" w:hAnsi="Centaur"/>
          <w:bCs/>
          <w:sz w:val="28"/>
          <w:szCs w:val="28"/>
        </w:rPr>
        <w:t>. Data from the Ministry of Cooperatives and SMEs in 2017 reported that the number of micro-enterprises in Indonesia was 62,106,900 business units or 98.7% of the total business units in Indonesia, contributing 36.82% of the national gross domestic product and were able to absorb a workforce of 107, 232, 992 people or 89.17% of the total workforce in Indonesia</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{"citationItems":[{"id":"ITEM-1","itemData":{"URL":"https://www.kemenkopukm.go.id/data-umkm","accessed":{"date-parts":[["2018","8","28"]]},"author":[{"dropping-particle":"","family":"Kementerian Koperasi dan Usaha Kecil dan Menengah","given":"","non-dropping-particle":"","parse-names":false,"suffix":""}],"id":"ITEM-1","issued":{"date-parts":[["2018"]]},"title":"kemenkopukm.go.id","type":"webpage"},"uris":["http://www.mendeley.com/documents/?uuid=9067bde0-b796-3016-8ff9-62c8372e825a"]}],"mendeley":{"formattedCitation":"(Kementerian Koperasi dan Usaha Kecil dan Menengah 2018)","plainTextFormattedCitation":"(Kementerian Koperasi dan Usaha Kecil dan Menengah 2018)","previouslyFormattedCitation":"(Kementerian Koperasi dan Usaha Kecil dan Menengah 2018)"},"properties":{"noteIndex":0},"schema":"https://github.com/citation-style-language/schema/raw/master/csl-citation.json"}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w:t>
      </w:r>
      <w:r w:rsidRPr="000E5369">
        <w:rPr>
          <w:rFonts w:ascii="Centaur" w:hAnsi="Centaur"/>
          <w:bCs/>
          <w:i/>
          <w:noProof/>
          <w:sz w:val="28"/>
          <w:szCs w:val="28"/>
        </w:rPr>
        <w:t>Kementrian Koperasi dan Usaha Kecil dan Menengah</w:t>
      </w:r>
      <w:r w:rsidRPr="000E5369">
        <w:rPr>
          <w:rFonts w:ascii="Centaur" w:hAnsi="Centaur"/>
          <w:bCs/>
          <w:noProof/>
          <w:sz w:val="28"/>
          <w:szCs w:val="28"/>
        </w:rPr>
        <w:t xml:space="preserve"> 2018)</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The size of the contribution of SMEs to national development, the performance of SMEs is thus pivotal to be considered. Business performance refers to a result achieved from the ability for develop new idea and to navigate new way of observing the problem and opportunity as well as ability of applying creative solutions to problems and opportunities in order to improve people's lives</w:t>
      </w:r>
      <w:r w:rsidRPr="000E5369">
        <w:rPr>
          <w:rFonts w:ascii="Centaur" w:hAnsi="Centaur"/>
          <w:bCs/>
          <w:color w:val="FFFFFF" w:themeColor="background1"/>
          <w:sz w:val="28"/>
          <w:szCs w:val="28"/>
        </w:rPr>
        <w:t>”</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{"citationItems":[{"id":"ITEM-1","itemData":{"DOI":"10.5901/MJSS.2014.V5N14P160","abstract":"This study discusses entrepreneurship, economic growth and entrepreneurship theories. Economic theories of entrepreneurship are explained in this study. Theories of entrepreneurship are used to link entrepreneurship to economic growth. Entrepreneurial ventures are also differentiated from ordinary small businesses, and entrepreneurship as a discipline is explained in a way that shows how it differs from management in general.","author":[{"dropping-particle":"","family":"Smith","given":"Wilhelmina","non-dropping-particle":"","parse-names":false,"suffix":""},{"dropping-particle":"","family":"Chimucheka","given":"Tendai","non-dropping-particle":"","parse-names":false,"suffix":""}],"container-title":"Mediterranean Journal of Social Sciences","id":"ITEM-1","issue":"14","issued":{"date-parts":[["2014"]]},"page":"160-168","publisher":"Mediterranean Center of Social and Educational Research","title":"Entrepreneurship, economic growth and entrepreneurship theories","type":"article-journal","volume":"5"},"uris":["http://www.mendeley.com/documents/?uuid=d64e2870-3f58-3965-8eb9-3ea766026350"]}],"mendeley":{"formattedCitation":"(Smith and Chimucheka 2014)","plainTextFormattedCitation":"(Smith and Chimucheka 2014)","previouslyFormattedCitation":"(Smith and Chimucheka 2014)"},"properties":{"noteIndex":0},"schema":"https://github.com/citation-style-language/schema/raw/master/csl-citation.json"}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(Smith and Chimucheka 2014)</w:t>
      </w:r>
      <w:r w:rsidR="008E716B" w:rsidRPr="000E5369">
        <w:rPr>
          <w:rFonts w:ascii="Centaur" w:hAnsi="Centaur"/>
          <w:bCs/>
          <w:sz w:val="28"/>
          <w:szCs w:val="28"/>
        </w:rPr>
        <w:fldChar w:fldCharType="end"/>
      </w:r>
      <w:r w:rsidRPr="000E5369">
        <w:rPr>
          <w:rFonts w:ascii="Centaur" w:hAnsi="Centaur"/>
          <w:bCs/>
          <w:sz w:val="28"/>
          <w:szCs w:val="28"/>
        </w:rPr>
        <w:t xml:space="preserve">. In addition, business performance is influenced by several factors such as the internal and external environment. The internal environment includes resources, entrepreneurial orientation, and mastery. Meanwhile, the external factors consist of government policies, market competition conditions, social conditions and environmental and global economic changes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{"citationItems":[{"id":"ITEM-1","itemData":{"author":[{"dropping-particle":"","family":"Darsono","given":"Nurdasila","non-dropping-particle":"","parse-names":false,"suffix":""}],"id":"ITEM-1","issued":{"date-parts":[["2015"]]},"publisher":"Syiah Kuala University Press Darussalam","publisher-place":"Banda Aceh","title":"Orientasi Kewirausaan &amp; Kinerja Bisnis","type":"book"},"uris":["http://www.mendeley.com/documents/?uuid=d121a0c1-9d34-4865-a08d-503b9f72d9f5"]},{"id":"ITEM-2","itemData":{"author":[{"dropping-particle":"","family":"Munizu","given":"Musran","non-dropping-particle":"","parse-names":false,"suffix":""}],"container-title":"Jurnal Manajemen dan Kewirausahaan","id":"ITEM-2","issue":"1","issued":{"date-parts":[["2010"]]},"title":"Pengaruh Faktor-Faktor Eksternal dan Internal Terhadap Kinerja Usaha Mikro dan Kecil (UMK) di Sulawesi Selatan | Jurnal Manajemen dan Kewirausahaan","type":"article-journal","volume":"12"},"uris":["http://www.mendeley.com/documents/?uuid=d36d48fa-0720-33b3-a414-bc8cad6256da"]}],"mendeley":{"formattedCitation":"(Darsono 2015; Munizu 2010)","plainTextFormattedCitation":"(Darsono 2015; Munizu 2010)","previouslyFormattedCitation":"(Darsono 2015; Munizu 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(Darsono 2015; Munizu 2010)</w:t>
      </w:r>
      <w:r w:rsidR="008E716B" w:rsidRPr="000E5369">
        <w:rPr>
          <w:rFonts w:ascii="Centaur" w:hAnsi="Centaur"/>
          <w:bCs/>
          <w:sz w:val="28"/>
          <w:szCs w:val="28"/>
        </w:rPr>
        <w:fldChar w:fldCharType="end"/>
      </w:r>
      <w:r w:rsidRPr="000E5369">
        <w:rPr>
          <w:rFonts w:ascii="Centaur" w:hAnsi="Centaur"/>
          <w:bCs/>
          <w:sz w:val="28"/>
          <w:szCs w:val="28"/>
        </w:rPr>
        <w:t xml:space="preserve">.  </w:t>
      </w:r>
    </w:p>
    <w:p w:rsidR="00497FE6" w:rsidRPr="000E5369" w:rsidRDefault="00497FE6" w:rsidP="00497FE6">
      <w:pPr>
        <w:spacing w:before="0" w:line="240" w:lineRule="auto"/>
        <w:ind w:left="0" w:firstLine="900"/>
        <w:jc w:val="both"/>
        <w:rPr>
          <w:rFonts w:ascii="Centaur" w:hAnsi="Centaur"/>
          <w:color w:val="FF0000"/>
          <w:sz w:val="28"/>
          <w:szCs w:val="28"/>
        </w:rPr>
      </w:pPr>
      <w:r w:rsidRPr="000E5369">
        <w:rPr>
          <w:rFonts w:ascii="Centaur" w:hAnsi="Centaur"/>
          <w:bCs/>
          <w:sz w:val="28"/>
          <w:szCs w:val="28"/>
        </w:rPr>
        <w:t xml:space="preserve">Human resources serve as an important critical point in business performance, as the owner of the SME also typically functions as the manager, who operates the business and organizes people. Thus, managerial competencies such as planning and organizational skills, administrative management, and communication skills are required to improve performance. Additionally, entrepreneurial competence is required by a business when facing competition, both domestically and internationally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{"citationItems":[{"id":"ITEM-1","itemData":{"ISBN":"9780080453705","ISSN":"1098-6596","PMID":"25246403","author":[{"dropping-particle":"","family":"Ng","given":"Hee Song","non-dropping-particle":"","parse-names":false,"suffix":""},{"dropping-particle":"","family":"Kee","given":"Daisy Mui Hung","non-dropping-particle":"","parse-names":false,"suffix":""}],"container-title":"Life Science Journal","id":"ITEM-1","issue":"4","issued":{"date-parts":[["2013"]]},"page":"2459-2466","title":"Effect of entrepreneurial competencies on firm performance under the influence of organizational culture","type":"article-journal","volume":"10"},"uris":["http://www.mendeley.com/documents/?uuid=fd2c68ba-d631-4826-92ee-197106716815"]}],"mendeley":{"formattedCitation":"(Ng and Kee 2013)","plainTextFormattedCitation":"(Ng and Kee 2013)","previouslyFormattedCitation":"(Ng and Kee 2013)"},"properties":{"noteIndex":0},"schema":"https://github.com/citation-style-language/schema/raw/master/csl-citation.json"}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(Ng and Kee 2013)</w:t>
      </w:r>
      <w:r w:rsidR="008E716B" w:rsidRPr="000E5369">
        <w:rPr>
          <w:rFonts w:ascii="Centaur" w:hAnsi="Centaur"/>
          <w:bCs/>
          <w:sz w:val="28"/>
          <w:szCs w:val="28"/>
        </w:rPr>
        <w:fldChar w:fldCharType="end"/>
      </w:r>
      <w:r w:rsidRPr="000E5369">
        <w:rPr>
          <w:rFonts w:ascii="Centaur" w:hAnsi="Centaur"/>
          <w:bCs/>
          <w:sz w:val="28"/>
          <w:szCs w:val="28"/>
        </w:rPr>
        <w:t>. Research shows that competence has a significant influence on performance, increases competitive advantage and as a medium for surviving in a business environment in uncertain situations and conditions.</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{"citationItems":[{"id":"ITEM-1","itemData":{"abstract":"The purpose of the research is to analyze and describe the effect of competence on commitment, performance and satisfaction with reward as a moderating variable. The research has been carried out in Kendari city government. The study focuses on designing work plans in Kendari City government, South East Sulawesi. To analyze the data, the study uses 152 respondents and applies Structural Equation Model on the basis of Partial least Square (PLS). The result of the research shows that the path coefficient of civil servant performance toward their satisfaction mediated by reward is not significant. It means that the reward that is given to the government workers on the basis of their performances does not necessarily effect on their satisfaction, this is because the respondents of the research are civil servants working in government organization, where the rewards are not the most priorities in increasing civil servants satisfaction.","author":[{"dropping-particle":"","family":"Lotunani","given":"Alamsyah","non-dropping-particle":"","parse-names":false,"suffix":""},{"dropping-particle":"","family":"Idrus","given":"M S","non-dropping-particle":"","parse-names":false,"suffix":""},{"dropping-particle":"","family":"Afnan","given":"Eka","non-dropping-particle":"","parse-names":false,"suffix":""},{"dropping-particle":"","family":"Setiawan","given":"Margono","non-dropping-particle":"","parse-names":false,"suffix":""}],"container-title":"International Journal of Business and Management Invention","id":"ITEM-1","issue":"2","issued":{"date-parts":[["2014"]]},"page":"18-25","title":"The Effect of Competence on Commitment, Performance and Satisfaction with Reward as a Moderating Variable (A Study on Designing Work plans in Kendari City Government, Southeast Sulawesi)","type":"article-journal","volume":"3"},"uris":["http://www.mendeley.com/documents/?uuid=4e1bac98-1b94-4ab6-b7c3-70552ea482b8"]}],"mendeley":{"formattedCitation":"(Lotunani et al. 2014)","plainTextFormattedCitation":"(Lotunani et al. 2014)","previouslyFormattedCitation":"(Lotunani et al. 2014)"},"properties":{"noteIndex":0},"schema":"https://github.com/citation-style-language/schema/raw/master/csl-citation.json"}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(Lotunani et al. 2014)</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To achieve optimal performance in business, entrepreneurs are encouraged to work along with high motivation to achieve a special level of competitiveness within strong competition. Motivation has been perceived as a change in all people’s energy characterized by the emergence of feelings, initiated by a response to the existence of a goal. Entrepreneurial motivation from business creation hence could influence decisions regarding business performance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{"citationItems":[{"id":"ITEM-1","itemData":{"author":[{"dropping-particle":"","family":"Greenberger","given":"David B.","non-dropping-particle":"","parse-names":false,"suffix":""},{"dropping-particle":"","family":"Sexton","given":"Donald L.","non-dropping-particle":"","parse-names":false,"suffix":""}],"container-title":"Journal of Small Business Management","id":"ITEM-1","issue":"3","issued":{"date-parts":[["1988"]]},"page":"1-7","title":"An Interactive Model of New Venture Initiation","type":"article-journal","volume":"26"},"uris":["http://www.mendeley.com/documents/?uuid=cebd019b-d5f1-39a2-915f-247ba009091c"]}],"mendeley":{"formattedCitation":"(Greenberger and Sexton 1988)","plainTextFormattedCitation":"(Greenberger and Sexton 1988)","previouslyFormattedCitation":"(Greenberger and Sexton 1988)"},"properties":{"noteIndex":0},"schema":"https://github.com/citation-style-language/schema/raw/master/csl-citation.json"}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(Greenberger and Sexton 1988)</w:t>
      </w:r>
      <w:r w:rsidR="008E716B" w:rsidRPr="000E5369">
        <w:rPr>
          <w:rFonts w:ascii="Centaur" w:hAnsi="Centaur"/>
          <w:bCs/>
          <w:sz w:val="28"/>
          <w:szCs w:val="28"/>
        </w:rPr>
        <w:fldChar w:fldCharType="end"/>
      </w:r>
      <w:r w:rsidRPr="000E5369">
        <w:rPr>
          <w:rFonts w:ascii="Centaur" w:hAnsi="Centaur"/>
          <w:bCs/>
          <w:sz w:val="28"/>
          <w:szCs w:val="28"/>
        </w:rPr>
        <w:t>. If entrepreneurs are motivated, they will make positive choices to do something.</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lastRenderedPageBreak/>
        <w:t xml:space="preserve">In the meta-analysis study conducted by Stewart and Roth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{"citationItems":[{"id":"ITEM-1","itemData":{"DOI":"10.1111/J.1540-627X.2007.00220.X","abstract":"As a result of conflicting conclusions in primary studies, most narrative reviews have questioned the role of personality in explaining entrepreneurial behavior. We examine one stream of this research by conducting a meta-analysis of studies that contrast the achievement motivation of entrepreneurs and managers. The results indicate that entrepreneurs exhibit higher achievement motivation than managers and that these differences are influenced by the entrepreneur's venture goals, by the use of U.S. or foreign samples, and, to a less clear extent, by projective or objective instrumentation. Moreover, when the analysis is restricted to venture founders, the difference between entrepreneurs and managers on achievement motivation is substantially larger and the credibility intervals do not include zero. © 2007 Blackwell Publishing Ltd.","author":[{"dropping-particle":"","family":"Stewart","given":"Wayne H.","non-dropping-particle":"","parse-names":false,"suffix":""},{"dropping-particle":"","family":"Roth","given":"Philip L.","non-dropping-particle":"","parse-names":false,"suffix":""}],"container-title":"Journal of Small Business Management","id":"ITEM-1","issue":"4","issued":{"date-parts":[["2007","10"]]},"page":"401-421","title":"A meta-analysis of achievement motivation differences between entrepreneurs and managers","type":"article-journal","volume":"45"},"suppress-author":1,"uris":["http://www.mendeley.com/documents/?uuid=2abfb48b-fe8f-3f3d-8653-c4ba419ec062"]}],"mendeley":{"formattedCitation":"(2007)","plainTextFormattedCitation":"(2007)","previouslyFormattedCitation":"(2007)"},"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(2007)</w:t>
      </w:r>
      <w:r w:rsidR="008E716B" w:rsidRPr="000E5369">
        <w:rPr>
          <w:rFonts w:ascii="Centaur" w:hAnsi="Centaur"/>
          <w:bCs/>
          <w:sz w:val="28"/>
          <w:szCs w:val="28"/>
        </w:rPr>
        <w:fldChar w:fldCharType="end"/>
      </w:r>
      <w:r w:rsidRPr="000E5369">
        <w:rPr>
          <w:rFonts w:ascii="Centaur" w:hAnsi="Centaur"/>
          <w:bCs/>
          <w:sz w:val="28"/>
          <w:szCs w:val="28"/>
        </w:rPr>
        <w:t xml:space="preserve">, the two scholars highlighted several differences between entrepreneur motivation and manager motivation. Therefore, entrepreneurial motivation should be underlined particularly on the personal characteristics of entrepreneurs. Understanding entrepreneurial motivation deals with analyzing the individual and entrepreneurial processes behind the creation of new ventures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{"citationItems":[{"id":"ITEM-1","itemData":{"DOI":"10.1177/104225879401800303","abstract":"Drawing on the literature involving the venture start-up process, integrated with motivational theory from the field of organizational behavior, a model describing the factors that affect firm start-up, strategic implementation, and the entrepreneur's decision to sustain entrepreneurship is proposed. Several hypotheses for future research are suggested.","author":[{"dropping-particle":"","family":"Naffziger","given":"Douglas W.","non-dropping-particle":"","parse-names":false,"suffix":""},{"dropping-particle":"","family":"Hornsby","given":"Jeffrey S.","non-dropping-particle":"","parse-names":false,"suffix":""},{"dropping-particle":"","family":"Kuratko","given":"Donald F.","non-dropping-particle":"","parse-names":false,"suffix":""}],"container-title":"Entrepreneurship Theory and Practice","id":"ITEM-1","issue":"3","issued":{"date-parts":[["1994","4"]]},"page":"29-42","publisher":"SAGE Publications","title":"A Proposed Research Model of Entrepreneurial Motivation","type":"article-journal","volume":"18"},"uris":["http://www.mendeley.com/documents/?uuid=48512b97-c219-3a5e-8f30-75013b5c4a58"]}],"mendeley":{"formattedCitation":"(Naffziger, Hornsby, and Kuratko 1994)","plainTextFormattedCitation":"(Naffziger, Hornsby, and Kuratko 1994)","previouslyFormattedCitation":"(Naffziger, Hornsby, and Kuratko 1994)"},"properties":{"noteIndex":0},"schema":"https://github.com/citation-style-language/schema/raw/master/csl-citation.json"}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(Naffziger, Hornsby, and Kuratko 1994)</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The internal factor affecting the performance of SMEs includes the entrepreneurial orientation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{"citationItems":[{"id":"ITEM-1","itemData":{"author":[{"dropping-particle":"","family":"Darsono","given":"Nurdasila","non-dropping-particle":"","parse-names":false,"suffix":""}],"id":"ITEM-1","issued":{"date-parts":[["2015"]]},"publisher":"Syiah Kuala University Press Darussalam","publisher-place":"Banda Aceh","title":"Orientasi Kewirausaan &amp; Kinerja Bisnis","type":"book"},"uris":["http://www.mendeley.com/documents/?uuid=d121a0c1-9d34-4865-a08d-503b9f72d9f5"]}],"mendeley":{"formattedCitation":"(Darsono 2015)","plainTextFormattedCitation":"(Darsono 2015)","previouslyFormattedCitation":"(Darsono 2015)"},"properties":{"noteIndex":0},"schema":"https://github.com/citation-style-language/schema/raw/master/csl-citation.json"}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(Darsono 2015)</w:t>
      </w:r>
      <w:r w:rsidR="008E716B" w:rsidRPr="000E5369">
        <w:rPr>
          <w:rFonts w:ascii="Centaur" w:hAnsi="Centaur"/>
          <w:bCs/>
          <w:sz w:val="28"/>
          <w:szCs w:val="28"/>
        </w:rPr>
        <w:fldChar w:fldCharType="end"/>
      </w:r>
      <w:r w:rsidRPr="000E5369">
        <w:rPr>
          <w:rFonts w:ascii="Centaur" w:hAnsi="Centaur"/>
          <w:bCs/>
          <w:sz w:val="28"/>
          <w:szCs w:val="28"/>
        </w:rPr>
        <w:t>, asa factor that contributes to business performance improvement. The entrepreneurial orientation of SMEs will determine the goals or focus of the competitive advantage, in which greater entrepreneurial orientation of the company generates the company’s ability to make changes and to react quickly towards these changes</w:t>
      </w:r>
      <w:r w:rsidRPr="000E5369">
        <w:rPr>
          <w:rFonts w:ascii="Centaur" w:hAnsi="Centaur"/>
          <w:bCs/>
          <w:color w:val="FF0000"/>
          <w:sz w:val="28"/>
          <w:szCs w:val="28"/>
        </w:rPr>
        <w:t xml:space="preserve">. </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Businesses with a strong entrepreneurial orientation will be more courageous to face risks by not holding onto past strategies. In a dynamic environment, entrepreneurial orientation is deemed pivotal for the survival of the company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{"citationItems":[{"id":"ITEM-1","itemData":{"DOI":"10.2307/258632","abstract":"The primary purpose of this article is to clarify the nature of the en-trepreneurial orientation (EO) construct and to propose a contingency framework for investigating the relationship between EO and firm performance. We first explore and refine the dimensions of EO and discuss the usefulness of viewing a firm's EO as a multidimensional construct. Then, drawing on examples from the EO-related contingen-cies literature, we suggest alternative models (moderating effects, mediating effects, independent effects, interaction effects) for testing the EO-performance relationship. For both start-up ventures and existing firms, entrepreneurship car-ried on in the pursuit of business opportunities spurs business expansion, technological progress, and wealth creation. Entrepreneurial activity rep-resents one of the major engines of economic growth and today accounts for the majority of new business development and job creation in the United States (Business Week, 1993). As such, writers in both the scholarly literature (e.g., Covin &amp; Slevin, 1991) and popular press (e.g., Peters &amp; Waterman, 1982) have argued that entrepreneurship is an essential fea-ture of high-performing firms. Entrepreneurship scholars have developed numerous typologies to describe alternate perspectives of entrepreneurship (e.g., Cooper &amp; Dunkelberg, 1986; Schollhammer, 1982; Webster, 1977). These classifica-tion systems typically depict differences in entrepreneurship as the result of various combinations of individual, organizational, or environmental factors that influence how and why entrepreneurship occurs as it does. Although these efforts have served to point out the various dimensions of the entrepreneurial process, they have not led to any widely held consen-sus regarding how to characterize entrepreneurship. This lack of consen-sus has impeded progress for researchers toward building and testing a broader theory of entrepreneurship, and has made it especially difficult The authors wish to thank AMR 's reviewers and Jeff Covin, Matt Gilley, David Harrison, Ken Price, Richard Priem, Abdul Rasheed, Rod Shrader, and Bruce Walters for their many helpful suggestions on earlier drafts of this article.","author":[{"dropping-particle":"","family":"Lumpkin","given":"G. T.","non-dropping-particle":"","parse-names":false,"suffix":""},{"dropping-particle":"","family":"Dess","given":"Gregory G.","non-dropping-particle":"","parse-names":false,"suffix":""}],"container-title":"The Academy of Management Review","id":"ITEM-1","issue":"1","issued":{"date-parts":[["1996","1"]]},"page":"135","publisher":"The Academy of Management","title":"Clarifying the Entrepreneurial Orientation Construct and Linking It to Performance","type":"article-journal","volume":"21"},"uris":["http://www.mendeley.com/documents/?uuid=3f8f0f36-d6d4-35fb-bc05-ac3aa6a5ede9"]}],"mendeley":{"formattedCitation":"(Lumpkin and Dess 1996)","plainTextFormattedCitation":"(Lumpkin and Dess 1996)","previouslyFormattedCitation":"(Lumpkin and Dess 1996)"},"properties":{"noteIndex":0},"schema":"https://github.com/citation-style-language/schema/raw/master/csl-citation.json"}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(Lumpkin &amp; Dess 1996)</w:t>
      </w:r>
      <w:r w:rsidR="008E716B" w:rsidRPr="000E5369">
        <w:rPr>
          <w:rFonts w:ascii="Centaur" w:hAnsi="Centaur"/>
          <w:bCs/>
          <w:sz w:val="28"/>
          <w:szCs w:val="28"/>
        </w:rPr>
        <w:fldChar w:fldCharType="end"/>
      </w:r>
      <w:r w:rsidRPr="000E5369">
        <w:rPr>
          <w:rFonts w:ascii="Centaur" w:hAnsi="Centaur"/>
          <w:bCs/>
          <w:sz w:val="28"/>
          <w:szCs w:val="28"/>
        </w:rPr>
        <w:t xml:space="preserve">. Entrepreneurial orientation refers to a trait and characteristic, actualizing innovative ideas into the reality, creatively accomplished; thereby resulting in the new and different outcomes. Entrepreneurship orientation as a process along with an action-oriented management style, implements innovation and change as the focus of thought and behavior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{"citationItems":[{"id":"ITEM-1","itemData":{"DOI":"10.1108/00251740610668851","ISSN":"0025-1747","abstract":"Purpose The purpose of this paper is to suggest a framework for competing theories of entrepreneurship but to argue for transparency in one's attempts to understand this phenomenon. Then to argue that, when matching small business advisers to small business, one should consider their entrepreneurial abilities and match as appropriate. A parsimonious method is suggested to measure entrepreneurial ability – divergent thinking. Design/methodology/approach A discussion of entrepreneurship and a proposed matrix that considers the relative entrepreneurial abilities of both partners and is then expanded to account for different decision scenarios. Findings A simple test for divergent thinking is suggested to measure entrepreneurship, applied to some hypothetical scenarios, and is supported by some broad evidence on the relationship between small businesses and commercial banks. Research limitations/implications At this stage a conceptual article but with real implications for managing SME and adviser relationships. Practical implications Should lead to a better understanding by both the SME and their advisers of what each party needs to contribute to ensure a successful outcome. Originality/value Provides a framework for classifying entrepreneurship and a different perspective on the SME and adviser relationship; suggests a different way from, say, traditional entrepreneurial orientation scales by which to measure entrepreneurial capacity of either the adviser or the SME. © 2006, Emerald Group Publishing Limited","author":[{"dropping-particle":"","family":"Day","given":"John","non-dropping-particle":"","parse-names":false,"suffix":""},{"dropping-particle":"","family":"Reynolds","given":"Paul","non-dropping-particle":"","parse-names":false,"suffix":""},{"dropping-particle":"","family":"Lancaster","given":"Geoff","non-dropping-particle":"","parse-names":false,"suffix":""}],"container-title":"Management Decision","id":"ITEM-1","issue":"5","issued":{"date-parts":[["2006"]]},"page":"581-597","publisher":"Emerald Group Publishing Ltd.","title":"Entrepreneurship and the small to medium-sized enterprise: A divergent/convergent paradox in thinking patterns between advisers and SME owner-managers","type":"article-journal","volume":"44"},"uris":["http://www.mendeley.com/documents/?uuid=baa7b74e-0f9b-3afa-a0cc-dcdfa8a5b12c"]}],"mendeley":{"formattedCitation":"(Day, Reynolds, and Lancaster 2006)","plainTextFormattedCitation":"(Day, Reynolds, and Lancaster 2006)","previouslyFormattedCitation":"(Day, Reynolds, and Lancaster 2006)"},"properties":{"noteIndex":0},"schema":"https://github.com/citation-style-language/schema/raw/master/csl-citation.json"}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(Day, Reynolds, and Lancaster 2006)</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Research indicates that performance is significantly influenced by entrepreneurial orientation. Prior studies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{"citationItems":[{"id":"ITEM-1","itemData":{"DOI":"10.23917/BENEFIT.V15I1.1327","ISSN":"2541-2604","abstract":"Penelitian bertujuan untuk menganalisis pengaruh aspek kompetensi kewirausahaan, orentasi kewirausahaan terhadap kinerja industri mebel di Kabupaten Klaten, dan menganalisis pengaruh orentasi kewirausahaan terhadap kinerja industri mebel di Kabupaten Klaten. Data yang digunakan adalah data primer, yang diambil secara cross section melalui wawancara secara langsung dengan para pemilik usaha mebel dengan menggunakan daftar pertanyaan. Sampel sebanyak 182 usaha mebel atau 10% populasi. Pengujian validitas menggunakan analisis Confirmatory Factor Analysis (CFA), dan pengujian reliabilitas menggunakan Cronbach Alpha . Alat analisis yang digunakan adalah analisis regresi hirarkis. Berdasarkan hasil analisis disimpulkan bahwa (1) model 1 merupakan model terbaik untuk menjelaskan hubungan antara kompetensi kewirausahaan ( skills) , dan orentasi kewirausahaan terhadap kinerja UKM, (2) kompetensi kewirausahaan (Initiative dan enterprises, Planninng dan Organizing, teknologi) serta orentasi kewirausahaan berpengaruh positif dan signifikan terhadap kinerja, dan (3) variable orentasi kewirausahaan terbukti memediasi hubungan antara kompetensi kewirausahaan dan kinerja usaha mebel di Klaten.","author":[{"dropping-particle":"","family":"Isa","given":"Muzakar","non-dropping-particle":"","parse-names":false,"suffix":""}],"container-title":"Benefit: Jurnal Manajemen dan Bisnis","id":"ITEM-1","issue":"1","issued":{"date-parts":[["2012","6","15"]]},"page":"172-185","title":"Analisis Kompetensi Kewirausahaan, Orientasi Kewirausahaan, dan Kinerja Industri Mebel","type":"article-journal","volume":"15"},"uris":["http://www.mendeley.com/documents/?uuid=9dbbd40c-d2ca-37fe-8e21-279b98762d3e"]},{"id":"ITEM-2","itemData":{"DOI":"10.32500/JEMATECH.V1I1.211","ISSN":"2622-8122","abstract":"Lima tahun belakangan, bisnis carica Dieng semakin menjamur sehingga semakin banyak para pengusaha membuat dan memproduksi carica Dieng. Sebagian besar para pengusaha carica Dieng dibuat dalam lingkup usaha rumahan (home industry) yang tergolong dalam usaha mikro, kecil dan menengah. Keberadaan Usaha Mikro Kecil dan Menengah (UMKM) di negara-negara berkembang termasuk di Indonesia dapat dikatakan sebagai tulang punggung perekonomian negara. Kewirausahaan sangat relevan dengan kondisi Indonesia karena pada dasarnya pencapaian puncak pencapaian interpreneurship ini adalah mampu mengelola sumber daya alam Indonesia sehingga bisa menjadi peluang bisnis yang mampu menyerap tenaga kerja dan membantu memajukan perekonomian bangsa. Sehingga mengetahui seberapa besar intensi berwirausaha yang tumbuh disetiap para wirausahawan, pentingnya mempunyai orientasi kewirausahaan dalam berwirausaha akan meningkatkan kinerja usaha dengan motivasi sebagai variabel intervening.\nPenelitian asosiatif (hubungan) merupakan penelitian yang mempunyai tujuan untuk mengetahui pengaruh sebab akibat dari variabel-variabel yang diteliti (Astina, ING, et al. 2016). Penelitian ini menjelaskan hubungan dan pengaruh yang menjadi antar hubungan bebas (independent variable) yaitu intensi kewirausahaan dan orientasi berwirausaha dengan variabel terikat (dependent variable) yaitu kinerja usaha melalui variabel intervening yaitu motivasi pengusaha claster carica di Wonosobo .Teknik pengambilan sampel menggunakan metode sensus sampling dari 90 responden yang diambil seluruhnya pada populasi. Adapun metode pengumpulan data digunakan dengan menggunakan kuesioner, kemudian jawaban dari responden di skor dengan menggunakan skala linkert. Setelah dilakukan uji dengan statistik menggunakan analisis regresi linier berganda ( multiple linier regression ) diperoleh hasil persamaan&amp;nbsp;&amp;nbsp;&amp;nbsp;&amp;nbsp;&amp;nbsp;&amp;nbsp;&amp;nbsp;&amp;nbsp;&amp;nbsp; &amp;nbsp;Y = 28,478 - 0,1206 X1 + 0,170 X2 + e dan nilai t hitung untuk uji parsial sebesar 28,478 nilai konstanta , 1,206 (X1) intensi kewirausahaan dan 1,700 (X2) orientasi berwirausaha. Dan dengan nilai koefisien determinasi yang disesuaikan ( Adjusted R2 ) sebesar 0,12. Untuk mengetahui pengaruh tidak langsung digunakan softwere SmartPLS 3.\nKesimpulan dari penelitian ini adalah sebagai berikut: Pengujian hipotesis yang dilakukan membuktikan bahwa tidak ada pengaruh yang signifikan dan positif antara intensi berwirausaha dengan kinerja usaha. Pengujian hipotesis yang dilaku…","author":[{"dropping-particle":"","family":"Purwanto","given":"Heri","non-dropping-particle":"","parse-names":false,"suffix":""},{"dropping-particle":"","family":"Trihudiyatmanto","given":"M.","non-dropping-particle":"","parse-names":false,"suffix":""}],"container-title":"Journal of Economic, Management, Accounting and Technology","id":"ITEM-2","issue":"1","issued":{"date-parts":[["2018","8","1"]]},"page":"42-52","publisher":"Fakultas Ekonomi Universitas Sains Al Qur_an (UNSIQ) Wonosobo","title":"Pengaruh Intensi Berwirausaha, Orientasi Kewirausahaan Terhadap  Kinerja Usaha dengan Motivasi Sebagai Variabel Intervening pada  Sentra UMKM Carica di Wonosobo","type":"article-journal","volume":"1"},"uris":["http://www.mendeley.com/documents/?uuid=c4fa2be5-e3cf-32ee-ae3a-a9e1f2b6c741"]},{"id":"ITEM-3","itemData":{"ISSN":"1176-8592","abstract":"The research examines entrepreneurial orientation (EO) in Indigenous or Bumiputera entrepreneurs (Malay firms) by taking cultural background as the antecedent. This construct is used to explain the influence of entrepreneurial orientation (EO) and its consequence towards firm performance.","author":[{"dropping-particle":"","family":"Zainol","given":"Fakhrul Anwar","non-dropping-particle":"","parse-names":false,"suffix":""},{"dropping-particle":"","family":"Ayadurai","given":"Selvamalar","non-dropping-particle":"","parse-names":false,"suffix":""}],"container-title":"Journal of Asia Entrepreneurship and Sustainability","id":"ITEM-3","issue":"1","issued":{"date-parts":[["2010"]]},"page":"3-20","title":"Cultural Background and Firm Performances of Indigenous (“Bumiputera”) Malay Family Firms in Malaysia: The Role of Entrepreneurial Orientation as a Mediating Variable","type":"article-journal","volume":"VI"},"uris":["http://www.mendeley.com/documents/?uuid=82f2bbe1-1fce-4b9b-ac7c-4ee4328cecba"]},{"id":"ITEM-4","itemData":{"ISBN":"9781119130536","abstract":"Predicting the binding mode of flexible polypeptides to proteins is an important task that falls outside the domain of applicability of most small molecule and protein</w:instrText>
      </w:r>
      <w:r w:rsidRPr="000E5369">
        <w:rPr>
          <w:bCs/>
          <w:sz w:val="28"/>
          <w:szCs w:val="28"/>
        </w:rPr>
        <w:instrText>−</w:instrText>
      </w:r>
      <w:r w:rsidRPr="000E5369">
        <w:rPr>
          <w:rFonts w:ascii="Centaur" w:hAnsi="Centaur"/>
          <w:bCs/>
          <w:sz w:val="28"/>
          <w:szCs w:val="28"/>
        </w:rPr>
        <w:instrText>protein docking tools. Here, we test the small molecule flexible ligand docking program Glide on a set of 19 non-</w:instrText>
      </w:r>
      <w:r w:rsidRPr="000E5369">
        <w:rPr>
          <w:rFonts w:ascii="Cambria" w:hAnsi="Cambria" w:cs="Cambria"/>
          <w:bCs/>
          <w:sz w:val="28"/>
          <w:szCs w:val="28"/>
        </w:rPr>
        <w:instrText>α</w:instrText>
      </w:r>
      <w:r w:rsidRPr="000E5369">
        <w:rPr>
          <w:rFonts w:ascii="Centaur" w:hAnsi="Centaur"/>
          <w:bCs/>
          <w:sz w:val="28"/>
          <w:szCs w:val="28"/>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approach.","author":[{"dropping-particle":"","family":"Suprihhadi","given":"Heru","non-dropping-particle":"","parse-names":false,"suffix":""}],"id":"ITEM-4","issued":{"date-parts":[["2013"]]},"publisher":"Sekolah Tinggi Ilmu Ekonomi Indonesia","title":"Orientasi Kewirausahaan Sebagai Mediasi Pengaruh Kepemimpinan Transformasional Dan Komitmen Organisasional Terhadap Kinerja Badan Usaha Koperasi Di Kota Surabaya","type":"thesis"},"uris":["http://www.mendeley.com/documents/?uuid=f592318e-5c6c-4a09-83b8-fe96a2eb1ebf"]}],"mendeley":{"formattedCitation":"(Isa 2012; Purwanto and Trihudiyatmanto 2018; Suprihhadi 2013; Zainol and Ayadurai 2010)","plainTextFormattedCitation":"(Isa 2012; Purwanto and Trihudiyatmanto 2018; Suprihhadi 2013; Zainol and Ayadurai 2010)","previouslyFormattedCitation":"(Isa 2012; Purwanto and Trihudiyatmanto 2018; Suprihhadi 2013; Zainol and Ayadurai 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(Isa 2012; Purwanto and Trihudiyatmanto 2018; Suprihhadi 2013; Zainol and Ayadurai 2010)</w:t>
      </w:r>
      <w:r w:rsidR="008E716B" w:rsidRPr="000E5369">
        <w:rPr>
          <w:rFonts w:ascii="Centaur" w:hAnsi="Centaur"/>
          <w:bCs/>
          <w:sz w:val="28"/>
          <w:szCs w:val="28"/>
        </w:rPr>
        <w:fldChar w:fldCharType="end"/>
      </w:r>
      <w:r w:rsidRPr="000E5369">
        <w:rPr>
          <w:rFonts w:ascii="Centaur" w:hAnsi="Centaur"/>
          <w:bCs/>
          <w:sz w:val="28"/>
          <w:szCs w:val="28"/>
        </w:rPr>
        <w:t xml:space="preserve">, confirmed that entrepreneurial orientation however had insignificant effect on the implications of business performance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Wang","given":"Y","non-dropping-particle":"","parse-names":false,"suffix":""},{"dropping-particle":"","family":"Li-Hua","given":"R.","non-dropping-particle":"","parse-names":false,"suffix":""}],"container-title":"An Empirical Study in China. IAMOT","id":"ITEM-1","issued":{"date-parts":[["2010"]]},"publisher":"IAMOT","title":"Operational of Corporate Entrepreneurship an its Performance Implication","type":"paper-conference"},"uris":["http://www.mendeley.com/documents/?uuid=9d4e364d-efa3-4d6f-a723-b8443ce4040c"]}],"mendeley":{"formattedCitation":"(Wang and Li-Hua 2010)","plainTextFormattedCitation":"(Wang and Li-Hua 2010)","previouslyFormattedCitation":"(Wang and Li-Hua 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(Wang and Li-Hua 2010)</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Accordingtothe Resource</w:t>
      </w:r>
      <w:r w:rsidRPr="000E5369">
        <w:rPr>
          <w:rFonts w:ascii="Centaur" w:hAnsi="Centaur"/>
          <w:bCs/>
          <w:color w:val="FFFFFF" w:themeColor="background1"/>
          <w:sz w:val="28"/>
          <w:szCs w:val="28"/>
        </w:rPr>
        <w:t>l</w:t>
      </w:r>
      <w:r w:rsidRPr="000E5369">
        <w:rPr>
          <w:rFonts w:ascii="Centaur" w:hAnsi="Centaur"/>
          <w:bCs/>
          <w:sz w:val="28"/>
          <w:szCs w:val="28"/>
        </w:rPr>
        <w:t>-</w:t>
      </w:r>
      <w:r w:rsidRPr="000E5369">
        <w:rPr>
          <w:rFonts w:ascii="Centaur" w:hAnsi="Centaur"/>
          <w:bCs/>
          <w:color w:val="FFFFFF" w:themeColor="background1"/>
          <w:sz w:val="28"/>
          <w:szCs w:val="28"/>
        </w:rPr>
        <w:t>l</w:t>
      </w:r>
      <w:r w:rsidRPr="000E5369">
        <w:rPr>
          <w:rFonts w:ascii="Centaur" w:hAnsi="Centaur"/>
          <w:bCs/>
          <w:sz w:val="28"/>
          <w:szCs w:val="28"/>
        </w:rPr>
        <w:t>Based View</w:t>
      </w:r>
      <w:r w:rsidRPr="000E5369">
        <w:rPr>
          <w:rFonts w:ascii="Centaur" w:hAnsi="Centaur"/>
          <w:bCs/>
          <w:color w:val="FFFFFF" w:themeColor="background1"/>
          <w:sz w:val="28"/>
          <w:szCs w:val="28"/>
        </w:rPr>
        <w:t>l</w:t>
      </w:r>
      <w:r w:rsidRPr="000E5369">
        <w:rPr>
          <w:rFonts w:ascii="Centaur" w:hAnsi="Centaur"/>
          <w:bCs/>
          <w:sz w:val="28"/>
          <w:szCs w:val="28"/>
        </w:rPr>
        <w:t xml:space="preserve"> theory, “resources become the inputs for the production process of a company that are considered valuable, rare, non-replicable and non-substitutable resources, and are potential to achieve competitive advantage and superior performance”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{"citationItems":[{"id":"ITEM-1","itemData":{"author":[{"dropping-particle":"","family":"Barney","given":"Jay B.","non-dropping-particle":"","parse-names":false,"suffix":""}],"container-title":"Journal of Management","id":"ITEM-1","issue":"1","issued":{"date-parts":[["1991"]]},"page":"99- 120.","title":"Firm Resources and Sustained Competitive Advantage","type":"article-journal","volume":"17"},"uris":["http://www.mendeley.com/documents/?uuid=bb95c8c8-93d4-411e-a6f4-19b4ab0a6d77"]}],"mendeley":{"formattedCitation":"(Barney 1991)","plainTextFormattedCitation":"(Barney 1991)","previouslyFormattedCitation":"(Barney 1991)"},"properties":{"noteIndex":0},"schema":"https://github.com/citation-style-language/schema/raw/master/csl-citation.json"}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(Barney 1991)</w:t>
      </w:r>
      <w:r w:rsidR="008E716B" w:rsidRPr="000E5369">
        <w:rPr>
          <w:rFonts w:ascii="Centaur" w:hAnsi="Centaur"/>
          <w:bCs/>
          <w:sz w:val="28"/>
          <w:szCs w:val="28"/>
        </w:rPr>
        <w:fldChar w:fldCharType="end"/>
      </w:r>
      <w:r w:rsidRPr="000E5369">
        <w:rPr>
          <w:rFonts w:ascii="Centaur" w:hAnsi="Centaur"/>
          <w:bCs/>
          <w:sz w:val="28"/>
          <w:szCs w:val="28"/>
        </w:rPr>
        <w:t>. “This approach is implemented to study companies based on the two basic assumptions, including: first, resource diversity” (Penrose 1959) which assumes that “each company has a different set of productive resource ties; and second, untransferable resources, which assumes that some of these resources are significantly expensive to duplicate or that the supply is inelastic” (Barney 2001).</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lastRenderedPageBreak/>
        <w:t>In essence, the RBV perspective emphasizes the importance of unique and different resources as a source of competitive advantage (Dollinger 2008; Rumelt 1984).</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One of the external factors that affect the performance and growth of SMEs emerging since 2019 has been the COVID-19 pandemic, depicting a direct impact on companies, both for large and small businesses</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{"citationItems":[{"id":"ITEM-1","itemData":{"DOI":"10.2139/SSRN.3593144","abstract":"This paper formulates an analytical framework to understand the spatiotemporal patterns of epidemic disease occurrence, its relevance, and implications to financial markets activity. The paper suggests a paradigm shift: a new multi-dimensional geometric approach to capture all symmetrical and asymmetrical strategic graphical movement. Furthermore, it introduces the concept of stagpression, a new economic phenomenon to explain the uncharted territory the world economies and financial markets are getting into. The Massive Pandemic Contagious Diseases Damage on Stock Markets Simulator (</w:instrText>
      </w:r>
      <w:r w:rsidRPr="000E5369">
        <w:rPr>
          <w:rFonts w:ascii="Cambria" w:hAnsi="Cambria" w:cs="Cambria"/>
          <w:bCs/>
          <w:sz w:val="28"/>
          <w:szCs w:val="28"/>
        </w:rPr>
        <w:instrText>φ</w:instrText>
      </w:r>
      <w:r w:rsidRPr="000E5369">
        <w:rPr>
          <w:rFonts w:ascii="Centaur" w:hAnsi="Centaur"/>
          <w:bCs/>
          <w:sz w:val="28"/>
          <w:szCs w:val="28"/>
        </w:rPr>
        <w:instrText>-Simulator) to evaluate the determinants of capital markets behavior in the presence of an infectious disease outbreak. The model investigates the impact of Covid-19 on the performance of ten stock markets, including S&amp;P 500, TWSE, Shanghai Stock Exchange, Nikkei 225, DAX, Hang Seng, U.K.-FTSE, KRX, SGX, and Malaysia-FTSE.","author":[{"dropping-particle":"","family":"Ruiz Estrada","given":"Mario Arturo","non-dropping-particle":"","parse-names":false,"suffix":""},{"dropping-particle":"","family":"Koutronas","given":"Evangelos","non-dropping-particle":"","parse-names":false,"suffix":""},{"dropping-particle":"","family":"Lee","given":"Minsoo","non-dropping-particle":"","parse-names":false,"suffix":""}],"container-title":"Contemporary Economics","id":"ITEM-1","issue":"1","issued":{"date-parts":[["2020","5","5"]]},"page":"19-33","publisher":"Elsevier BV","title":"Stagpression: The Economic and Financial Impact of COVID-19 Pandemic","type":"article-journal","volume":"15"},"uris":["http://www.mendeley.com/documents/?uuid=28194a9e-2dc4-3934-b4c1-92b5285d829e"]},{"id":"ITEM-2","itemData":{"DOI":"10.2139/SSRN.3567901","abstract":"Globally, the COVID - 19 shock is severe even compared to the Great Financial Crisis in 2007–08. However, the impact of the COVID - 19 on the financial markets has never been researched. The present study is undertaken to investigate the impact of the COVID - 19 on the Financial Markets from the period dated 1st March 2020 to 25th March 2020 in China and USA. The study applied a Simple regression model to investigate the impact of the COVID - 19 on the Financial Markets during the period from dated 1st March 2020 to 25th March 2020 in China and USA. Time series data from China COVID - 19 Statistics Reports and Trading Economics from 1st March 2020 to 25th March 2020 for China and USA were employed by the study. The study used the Shanghai Stock Exchange as a sample for China and the New York Dow Jones as a sample for the USA. On the process of investigating the impact of the COVID - 19 on the financial markets the study assumes the COVID - 19 Confirmed cases to be the independent variable while Shanghai Stock Exchange and New York Dow Jones to be dependent variables of the study in China and USA. The study findings were in actual fact very interesting. The study findings revealed that there is a positive significant relationship between the COVID - 19 confirmed cases and all the financial markets (Shanghai stock exchange and New York Dow Jones) from 1st March 2020 to 25th March 2020 in China and USA. That means the COVID - 19 had a significant impact on the financial markets from 1st March 2020 to 25th March 2020 in China and USA.","author":[{"dropping-particle":"","family":"Sansa","given":"Nuhu A.","non-dropping-particle":"","parse-names":false,"suffix":""}],"container-title":"Electronic Research Journal of Social Sciences and Humanities","id":"ITEM-2","issue":"II","issued":{"date-parts":[["2020","4","3"]]},"publisher":"Elsevier BV","title":"The Impact of the COVID-19 on the Financial Markets: Evidence from China and USA","type":"article-journal","volume":"2"},"uris":["http://www.mendeley.com/documents/?uuid=0b056057-db64-326a-81ae-38f98104f439"]}],"mendeley":{"formattedCitation":"(Ruiz Estrada, Koutronas, and Lee 2020; Sansa 2020)","plainTextFormattedCitation":"(Ruiz Estrada, Koutronas, and Lee 2020; Sansa 2020)","previouslyFormattedCitation":"(Ruiz Estrada, Koutronas, and Lee 2020; Sansa 2020)"},"properties":{"noteIndex":0},"schema":"https://github.com/citation-style-language/schema/raw/master/csl-citation.json"}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(Ruiz Estrada, Koutronas, and Lee 2020; Sansa 2020)</w:t>
      </w:r>
      <w:r w:rsidR="008E716B" w:rsidRPr="000E5369">
        <w:rPr>
          <w:rFonts w:ascii="Centaur" w:hAnsi="Centaur"/>
          <w:bCs/>
          <w:sz w:val="28"/>
          <w:szCs w:val="28"/>
        </w:rPr>
        <w:fldChar w:fldCharType="end"/>
      </w:r>
      <w:r w:rsidRPr="000E5369">
        <w:rPr>
          <w:rFonts w:ascii="Centaur" w:hAnsi="Centaur"/>
          <w:bCs/>
          <w:sz w:val="28"/>
          <w:szCs w:val="28"/>
        </w:rPr>
        <w:t>. SMEs, which have been at the forefront of the economic pillars in Indonesia, were able to survive the shocks of the economic crisis in the previous 1999s, are expected to be able to survive the COVID-19 pandemic crisis.</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 xml:space="preserve">The implementation impact of Large-Scale Restrictions (PSBB) has suddenly immobilized the state economic activity, which was evident from the declining demand; thereby disrupting the supply chains across Indonesia. In the initial survey, more than 50% of SMEs in Indonesia indicated that they could go out of business in the next few months after the pandemic in early March 2020, which would certainly demonstrate a huge impact on the Indonesian economy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{"citationItems":[{"id":"ITEM-1","itemData":{"ISBN":"9786237097730","abstract":"Corona virus 2019 atau Covid-19 merupakan penyakit penularannya melalui kontak antar manusia, sehingga penyebarannya sangat cepat ke seluruh dunia. Menimbulkan ketakutan dan kekhawatiran terhadap kesehatan bagi manusia sehingga memunculkan upaya dari pemerintah untuk memutus mata rantai penyebarannya dengan melakukan pembatasan aktivitas sosial. Istilah New Normal pun dikenalkan. Oleh sebab itu, pergeseran dan tambahan peran dari Human Resources Management (HRM) di organisasi menjadi sangat penting untuk membantu pencegahan penularan Covid-19 bagi anggota organisasi khususnya untuk menjaga keberlangsungan hidup organisasi ditengah krisis Covid-19. Tulisan bertujuan mendiskusikan pergeseran peran HRM di masa pandemi Covid-19 untuk menjaga sustainabilitas organisasi.","author":[{"dropping-particle":"","family":"Zulkifli","given":"","non-dropping-particle":"","parse-names":false,"suffix":""}],"chapter-number":"Bab 7: 83-","container-title":"Manajemen Bisnis di Era Pandemi COVID-19 &amp; New Normal","editor":[{"dropping-particle":"","family":"Nurhidayati","given":"","non-dropping-particle":"","parse-names":false,"suffix":""},{"dropping-particle":"","family":"Anam","given":"A Khoirul","non-dropping-particle":"","parse-names":false,"suffix":""}],"id":"ITEM-1","issued":{"date-parts":[["2020"]]},"page":"280","publisher":"Unissula Press","publisher-place":"Semarang","title":"UKM Menuju Pemulihan Ekonomi Setelah Pandemi Covid-19","type":"chapter"},"uris":["http://www.mendeley.com/documents/?uuid=473d0cc7-181a-4e3a-a737-272878a19948"]}],"mendeley":{"formattedCitation":"(Zulkifli 2020)","plainTextFormattedCitation":"(Zulkifli 2020)","previouslyFormattedCitation":"(Zulkifli 2020)"},"properties":{"noteIndex":0},"schema":"https://github.com/citation-style-language/schema/raw/master/csl-citation.json"}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(Zulkifli 2020)</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 xml:space="preserve">Several studies report that the pandemic brings the difficulties for Small and Medium Enterprises (SMEs) associated with low-income gains affecting the business operations and sustainability. SMEs experience in terms of shortage of financial resources becomes the biggest challenges for short-term and long-term recovery in the COVID-19 situation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{"citationItems":[{"id":"ITEM-1","itemData":{"author":[{"dropping-particle":"","family":"Cumbie","given":"Barry A.","non-dropping-particle":"","parse-names":false,"suffix":""}],"container-title":"Association for Information Systems - 13th Americas Conference on Information Systems, AMCIS 2007: Reaching New Heights","id":"ITEM-1","issued":{"date-parts":[["2007","12","1"]]},"title":"The essential components of disaster recovery methods: A Delphi study among small businesses","type":"paper-conference"},"uris":["http://www.mendeley.com/documents/?uuid=e254ce05-1cc1-3e6b-8560-b529f4f2de68"]}],"mendeley":{"formattedCitation":"(Cumbie 2007)","plainTextFormattedCitation":"(Cumbie 2007)","previouslyFormattedCitation":"(Cumbie 2007)"},"properties":{"noteIndex":0},"schema":"https://github.com/citation-style-language/schema/raw/master/csl-citation.json"}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(Cumbie 2007)</w:t>
      </w:r>
      <w:r w:rsidR="008E716B" w:rsidRPr="000E5369">
        <w:rPr>
          <w:rFonts w:ascii="Centaur" w:hAnsi="Centaur"/>
          <w:bCs/>
          <w:sz w:val="28"/>
          <w:szCs w:val="28"/>
        </w:rPr>
        <w:fldChar w:fldCharType="end"/>
      </w:r>
      <w:r w:rsidRPr="000E5369">
        <w:rPr>
          <w:rFonts w:ascii="Centaur" w:hAnsi="Centaur"/>
          <w:bCs/>
          <w:sz w:val="28"/>
          <w:szCs w:val="28"/>
        </w:rPr>
        <w:t>. However, the business cycle is required to keep running and exist due to their significant role in supporting the economy. In currently difficult conditions, it is thus necessary to foster entrepreneurial motivation for SMEs to continuously achieve maximum results based on all the competencies possessed by business actors. In addition, SMEs are also required to think outside the box in effort to produce innovations and improve their business.</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Referring to several previous research and existing theories, this paper aims to empirically analyze, test, and discuss the causal relationship indicatedemonstrating “the influence of competence and work motivation on entrepreneurial orientation and business performance moderated by the COVID-19 pandemic on micro-enterprises at the Tourism Center, Culinary Surabaya City</w:t>
      </w:r>
      <w:r w:rsidRPr="000E5369">
        <w:rPr>
          <w:rFonts w:ascii="Centaur" w:hAnsi="Centaur"/>
          <w:bCs/>
          <w:color w:val="FF0000"/>
          <w:sz w:val="28"/>
          <w:szCs w:val="28"/>
        </w:rPr>
        <w:t>.”</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 xml:space="preserve">Islamic Entrepreneurship Development is currently a breakthrough or such an important step by looking at the current conditions that there are still many business actors who ignore moral values </w:t>
      </w:r>
      <w:r w:rsidRPr="000E5369">
        <w:rPr>
          <w:bCs/>
          <w:sz w:val="28"/>
          <w:szCs w:val="28"/>
        </w:rPr>
        <w:t>​​</w:t>
      </w:r>
      <w:r w:rsidRPr="000E5369">
        <w:rPr>
          <w:rFonts w:ascii="Centaur" w:hAnsi="Centaur"/>
          <w:bCs/>
          <w:sz w:val="28"/>
          <w:szCs w:val="28"/>
        </w:rPr>
        <w:t xml:space="preserve">in Entrepreneurship just pursuing </w:t>
      </w:r>
      <w:r w:rsidRPr="000E5369">
        <w:rPr>
          <w:rFonts w:ascii="Centaur" w:hAnsi="Centaur"/>
          <w:bCs/>
          <w:sz w:val="28"/>
          <w:szCs w:val="28"/>
        </w:rPr>
        <w:lastRenderedPageBreak/>
        <w:t>worldly gains that are only temporary and ignore the benefits ukhrawinya. One of the fundamental goals of this phenomenon is used as a research study because as the development of entrepreneurship theory from relevant Muslim scholars with current economic phenomena. It is also used as a theoretical study explains a theory that applies to a phenomenon.Thereforewe will also see how the forms of entrepreneurship in the perspective of Islamic economics.</w:t>
      </w:r>
    </w:p>
    <w:p w:rsidR="00497FE6" w:rsidRPr="000E5369" w:rsidRDefault="00497FE6" w:rsidP="00497FE6">
      <w:pPr>
        <w:spacing w:before="0" w:line="240" w:lineRule="auto"/>
        <w:ind w:firstLine="567"/>
        <w:jc w:val="both"/>
        <w:rPr>
          <w:rFonts w:ascii="Centaur" w:hAnsi="Centaur"/>
          <w:bCs/>
          <w:color w:val="FF0000"/>
          <w:sz w:val="28"/>
          <w:szCs w:val="28"/>
        </w:rPr>
      </w:pPr>
    </w:p>
    <w:p w:rsidR="00497FE6" w:rsidRPr="000E5369" w:rsidRDefault="00D52B0A" w:rsidP="00497FE6">
      <w:pPr>
        <w:pStyle w:val="ListParagraph"/>
        <w:widowControl/>
        <w:numPr>
          <w:ilvl w:val="0"/>
          <w:numId w:val="13"/>
        </w:numPr>
        <w:autoSpaceDE/>
        <w:autoSpaceDN/>
        <w:spacing w:before="0" w:line="240" w:lineRule="auto"/>
        <w:ind w:left="540" w:hanging="540"/>
        <w:contextualSpacing/>
        <w:rPr>
          <w:rFonts w:ascii="Centaur" w:hAnsi="Centaur"/>
          <w:b/>
          <w:bCs/>
          <w:sz w:val="28"/>
          <w:szCs w:val="28"/>
        </w:rPr>
      </w:pPr>
      <w:r>
        <w:rPr>
          <w:rFonts w:ascii="Centaur" w:hAnsi="Centaur"/>
          <w:b/>
          <w:bCs/>
          <w:sz w:val="28"/>
          <w:szCs w:val="28"/>
        </w:rPr>
        <w:t>THEORITICAL</w:t>
      </w:r>
    </w:p>
    <w:p w:rsidR="00497FE6" w:rsidRPr="000E5369" w:rsidRDefault="00497FE6" w:rsidP="00497FE6">
      <w:pPr>
        <w:spacing w:before="0" w:line="240" w:lineRule="auto"/>
        <w:ind w:left="360"/>
        <w:jc w:val="both"/>
        <w:rPr>
          <w:rFonts w:ascii="Centaur" w:hAnsi="Centaur"/>
          <w:b/>
          <w:bCs/>
          <w:sz w:val="28"/>
          <w:szCs w:val="28"/>
          <w:lang w:val="en-US"/>
        </w:rPr>
      </w:pPr>
      <w:r w:rsidRPr="000E5369">
        <w:rPr>
          <w:rFonts w:ascii="Centaur" w:hAnsi="Centaur"/>
          <w:b/>
          <w:bCs/>
          <w:sz w:val="28"/>
          <w:szCs w:val="28"/>
        </w:rPr>
        <w:t>Business Performance</w:t>
      </w:r>
    </w:p>
    <w:p w:rsidR="00497FE6" w:rsidRPr="000E5369" w:rsidRDefault="00497FE6" w:rsidP="00497FE6">
      <w:pPr>
        <w:spacing w:before="0" w:line="240" w:lineRule="auto"/>
        <w:ind w:left="0" w:firstLine="900"/>
        <w:jc w:val="both"/>
        <w:rPr>
          <w:rFonts w:ascii="Centaur" w:hAnsi="Centaur"/>
          <w:b/>
          <w:bCs/>
          <w:sz w:val="28"/>
          <w:szCs w:val="28"/>
        </w:rPr>
      </w:pPr>
      <w:r w:rsidRPr="000E5369">
        <w:rPr>
          <w:rFonts w:ascii="Centaur" w:hAnsi="Centaur"/>
          <w:bCs/>
          <w:sz w:val="28"/>
          <w:szCs w:val="28"/>
        </w:rPr>
        <w:t>Business performanceis a</w:t>
      </w:r>
      <w:r w:rsidRPr="000E5369">
        <w:rPr>
          <w:rFonts w:ascii="Centaur" w:hAnsi="Centaur"/>
          <w:bCs/>
          <w:color w:val="FFFFFF" w:themeColor="background1"/>
          <w:sz w:val="28"/>
          <w:szCs w:val="28"/>
        </w:rPr>
        <w:t>l</w:t>
      </w:r>
      <w:r w:rsidRPr="000E5369">
        <w:rPr>
          <w:rFonts w:ascii="Centaur" w:hAnsi="Centaur"/>
          <w:bCs/>
          <w:sz w:val="28"/>
          <w:szCs w:val="28"/>
        </w:rPr>
        <w:t xml:space="preserve"> result made by management on an ongoing basis, which particularly is the result of the decisions of many individuals based on the level</w:t>
      </w:r>
      <w:r w:rsidRPr="000E5369">
        <w:rPr>
          <w:rFonts w:ascii="Centaur" w:hAnsi="Centaur"/>
          <w:bCs/>
          <w:color w:val="FFFFFF" w:themeColor="background1"/>
          <w:sz w:val="28"/>
          <w:szCs w:val="28"/>
        </w:rPr>
        <w:t>l</w:t>
      </w:r>
      <w:r w:rsidRPr="000E5369">
        <w:rPr>
          <w:rFonts w:ascii="Centaur" w:hAnsi="Centaur"/>
          <w:bCs/>
          <w:sz w:val="28"/>
          <w:szCs w:val="28"/>
        </w:rPr>
        <w:t xml:space="preserve"> of</w:t>
      </w:r>
      <w:r w:rsidRPr="000E5369">
        <w:rPr>
          <w:rFonts w:ascii="Centaur" w:hAnsi="Centaur"/>
          <w:bCs/>
          <w:color w:val="FFFFFF" w:themeColor="background1"/>
          <w:sz w:val="28"/>
          <w:szCs w:val="28"/>
        </w:rPr>
        <w:t>ll</w:t>
      </w:r>
      <w:r w:rsidRPr="000E5369">
        <w:rPr>
          <w:rFonts w:ascii="Centaur" w:hAnsi="Centaur"/>
          <w:bCs/>
          <w:sz w:val="28"/>
          <w:szCs w:val="28"/>
        </w:rPr>
        <w:t>achievement</w:t>
      </w:r>
      <w:r w:rsidRPr="000E5369">
        <w:rPr>
          <w:rFonts w:ascii="Centaur" w:hAnsi="Centaur"/>
          <w:bCs/>
          <w:color w:val="FFFFFF" w:themeColor="background1"/>
          <w:sz w:val="28"/>
          <w:szCs w:val="28"/>
        </w:rPr>
        <w:t>ll</w:t>
      </w:r>
      <w:r w:rsidRPr="000E5369">
        <w:rPr>
          <w:rFonts w:ascii="Centaur" w:hAnsi="Centaur"/>
          <w:bCs/>
          <w:sz w:val="28"/>
          <w:szCs w:val="28"/>
        </w:rPr>
        <w:t xml:space="preserve">or profession </w:t>
      </w:r>
      <w:r w:rsidRPr="000E5369">
        <w:rPr>
          <w:rFonts w:ascii="Centaur" w:hAnsi="Centaur"/>
          <w:bCs/>
          <w:color w:val="FFFFFF" w:themeColor="background1"/>
          <w:sz w:val="28"/>
          <w:szCs w:val="28"/>
        </w:rPr>
        <w:t>l</w:t>
      </w:r>
      <w:r w:rsidRPr="000E5369">
        <w:rPr>
          <w:rFonts w:ascii="Centaur" w:hAnsi="Centaur"/>
          <w:bCs/>
          <w:sz w:val="28"/>
          <w:szCs w:val="28"/>
        </w:rPr>
        <w:t>of the</w:t>
      </w:r>
      <w:r w:rsidRPr="000E5369">
        <w:rPr>
          <w:rFonts w:ascii="Centaur" w:hAnsi="Centaur"/>
          <w:bCs/>
          <w:color w:val="FFFFFF" w:themeColor="background1"/>
          <w:sz w:val="28"/>
          <w:szCs w:val="28"/>
        </w:rPr>
        <w:t>ll</w:t>
      </w:r>
      <w:r w:rsidRPr="000E5369">
        <w:rPr>
          <w:rFonts w:ascii="Centaur" w:hAnsi="Centaur"/>
          <w:bCs/>
          <w:sz w:val="28"/>
          <w:szCs w:val="28"/>
        </w:rPr>
        <w:t xml:space="preserve">company </w:t>
      </w:r>
      <w:r w:rsidRPr="000E5369">
        <w:rPr>
          <w:rFonts w:ascii="Centaur" w:hAnsi="Centaur"/>
          <w:bCs/>
          <w:color w:val="FFFFFF" w:themeColor="background1"/>
          <w:sz w:val="28"/>
          <w:szCs w:val="28"/>
        </w:rPr>
        <w:t>l</w:t>
      </w:r>
      <w:r w:rsidRPr="000E5369">
        <w:rPr>
          <w:rFonts w:ascii="Centaur" w:hAnsi="Centaur"/>
          <w:bCs/>
          <w:sz w:val="28"/>
          <w:szCs w:val="28"/>
        </w:rPr>
        <w:t xml:space="preserve">in </w:t>
      </w:r>
      <w:r w:rsidRPr="000E5369">
        <w:rPr>
          <w:rFonts w:ascii="Centaur" w:hAnsi="Centaur"/>
          <w:bCs/>
          <w:color w:val="FFFFFF" w:themeColor="background1"/>
          <w:sz w:val="28"/>
          <w:szCs w:val="28"/>
        </w:rPr>
        <w:t>l</w:t>
      </w:r>
      <w:r w:rsidRPr="000E5369">
        <w:rPr>
          <w:rFonts w:ascii="Centaur" w:hAnsi="Centaur"/>
          <w:bCs/>
          <w:sz w:val="28"/>
          <w:szCs w:val="28"/>
        </w:rPr>
        <w:t>a</w:t>
      </w:r>
      <w:r w:rsidRPr="000E5369">
        <w:rPr>
          <w:rFonts w:ascii="Centaur" w:hAnsi="Centaur"/>
          <w:bCs/>
          <w:color w:val="FFFFFF" w:themeColor="background1"/>
          <w:sz w:val="28"/>
          <w:szCs w:val="28"/>
        </w:rPr>
        <w:t>ll</w:t>
      </w:r>
      <w:r w:rsidRPr="000E5369">
        <w:rPr>
          <w:rFonts w:ascii="Centaur" w:hAnsi="Centaur"/>
          <w:bCs/>
          <w:sz w:val="28"/>
          <w:szCs w:val="28"/>
        </w:rPr>
        <w:t xml:space="preserve">certain </w:t>
      </w:r>
      <w:r w:rsidRPr="000E5369">
        <w:rPr>
          <w:rFonts w:ascii="Centaur" w:hAnsi="Centaur"/>
          <w:bCs/>
          <w:color w:val="FFFFFF" w:themeColor="background1"/>
          <w:sz w:val="28"/>
          <w:szCs w:val="28"/>
        </w:rPr>
        <w:t>l</w:t>
      </w:r>
      <w:r w:rsidRPr="000E5369">
        <w:rPr>
          <w:rFonts w:ascii="Centaur" w:hAnsi="Centaur"/>
          <w:bCs/>
          <w:sz w:val="28"/>
          <w:szCs w:val="28"/>
        </w:rPr>
        <w:t xml:space="preserve">period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{"citationItems":[{"id":"ITEM-1","itemData":{"author":[{"dropping-particle":"","family":"Helfert","given":"Erich A.","non-dropping-particle":"","parse-names":false,"suffix":""}],"edition":"5th","id":"ITEM-1","issued":{"date-parts":[["1996"]]},"publisher":"Erlangga","publisher-place":"Jakarta","title":"Techniques of financial analysis","translator":[{"dropping-particle":"","family":"Widjaya","given":"Wisnu","non-dropping-particle":"","parse-names":false,"suffix":""}],"type":"book"},"uris":["http://www.mendeley.com/documents/?uuid=906c4fea-ddee-3b00-b108-6713f50220c0"]}],"mendeley":{"formattedCitation":"(Helfert 1996)","plainTextFormattedCitation":"(Helfert 1996)","previouslyFormattedCitation":"(Helfert 1996)"},"properties":{"noteIndex":0},"schema":"https://github.com/citation-style-language/schema/raw/master/csl-citation.json"}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(Helfert 1996)</w:t>
      </w:r>
      <w:r w:rsidR="008E716B" w:rsidRPr="000E5369">
        <w:rPr>
          <w:rFonts w:ascii="Centaur" w:hAnsi="Centaur"/>
          <w:bCs/>
          <w:sz w:val="28"/>
          <w:szCs w:val="28"/>
        </w:rPr>
        <w:fldChar w:fldCharType="end"/>
      </w:r>
      <w:r w:rsidRPr="000E5369">
        <w:rPr>
          <w:rFonts w:ascii="Centaur" w:hAnsi="Centaur"/>
          <w:bCs/>
          <w:sz w:val="28"/>
          <w:szCs w:val="28"/>
        </w:rPr>
        <w:t>. The</w:t>
      </w:r>
      <w:r w:rsidRPr="000E5369">
        <w:rPr>
          <w:rFonts w:ascii="Centaur" w:hAnsi="Centaur"/>
          <w:bCs/>
          <w:color w:val="FFFFFF" w:themeColor="background1"/>
          <w:sz w:val="28"/>
          <w:szCs w:val="28"/>
        </w:rPr>
        <w:t>l</w:t>
      </w:r>
      <w:r w:rsidRPr="000E5369">
        <w:rPr>
          <w:rFonts w:ascii="Centaur" w:hAnsi="Centaur"/>
          <w:bCs/>
          <w:sz w:val="28"/>
          <w:szCs w:val="28"/>
        </w:rPr>
        <w:t xml:space="preserve"> success of</w:t>
      </w:r>
      <w:r w:rsidRPr="000E5369">
        <w:rPr>
          <w:rFonts w:ascii="Centaur" w:hAnsi="Centaur"/>
          <w:bCs/>
          <w:color w:val="FFFFFF" w:themeColor="background1"/>
          <w:sz w:val="28"/>
          <w:szCs w:val="28"/>
        </w:rPr>
        <w:t>l</w:t>
      </w:r>
      <w:r w:rsidRPr="000E5369">
        <w:rPr>
          <w:rFonts w:ascii="Centaur" w:hAnsi="Centaur"/>
          <w:bCs/>
          <w:sz w:val="28"/>
          <w:szCs w:val="28"/>
        </w:rPr>
        <w:t xml:space="preserve"> business performance is inseparable from the role of an entrepreneur in conducting his business activities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{"citationItems":[{"id":"ITEM-1","itemData":{"author":[{"dropping-particle":"","family":"Lestari","given":"Susi","non-dropping-particle":"","parse-names":false,"suffix":""}],"container-title":"Laporan Penelitian, Universitas Islam Negeri Sunan Kalijaga Yogyakarta","id":"ITEM-1","issued":{"date-parts":[["2009"]]},"title":"Pengembangan Desa Wisata dalam rangka Pemberdayaan Masyarakat (Studi di Desa Wisata Kembang Arum Sleman)","type":"article-journal"},"uris":["http://www.mendeley.com/documents/?uuid=4e0115d5-ca96-4dfe-811e-70a82e7efe4b"]}],"mendeley":{"formattedCitation":"(Lestari 2009)","plainTextFormattedCitation":"(Lestari 2009)","previouslyFormattedCitation":"(Lestari 2009)"},"properties":{"noteIndex":0},"schema":"https://github.com/citation-style-language/schema/raw/master/csl-citation.json"}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(Lestari 2009)</w:t>
      </w:r>
      <w:r w:rsidR="008E716B" w:rsidRPr="000E5369">
        <w:rPr>
          <w:rFonts w:ascii="Centaur" w:hAnsi="Centaur"/>
          <w:bCs/>
          <w:sz w:val="28"/>
          <w:szCs w:val="28"/>
        </w:rPr>
        <w:fldChar w:fldCharType="end"/>
      </w:r>
      <w:r w:rsidRPr="000E5369">
        <w:rPr>
          <w:rFonts w:ascii="Centaur" w:hAnsi="Centaur"/>
          <w:bCs/>
          <w:sz w:val="28"/>
          <w:szCs w:val="28"/>
        </w:rPr>
        <w:t xml:space="preserve">. To become a successful entrepreneur, a strong attitude and behavior as well as a strong sense of independence are thus essential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{"citationItems":[{"id":"ITEM-1","itemData":{"author":[{"dropping-particle":"","family":"As’ad","given":"Moh.","non-dropping-particle":"","parse-names":false,"suffix":""}],"edition":"ke empat","id":"ITEM-1","issued":{"date-parts":[["2012"]]},"number-of-pages":"152","publisher":"Liberty","publisher-place":"Yogyakarta","title":"Psikologi Industri","type":"book"},"uris":["http://www.mendeley.com/documents/?uuid=6752908d-7451-46d6-ab54-5bd99a49874c"]}],"mendeley":{"formattedCitation":"(As’ad 2012)","plainTextFormattedCitation":"(As’ad 2012)","previouslyFormattedCitation":"(As’ad 2012)"},"properties":{"noteIndex":0},"schema":"https://github.com/citation-style-language/schema/raw/master/csl-citation.json"}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(As’ad 2012)</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pStyle w:val="ListParagraph"/>
        <w:spacing w:before="0" w:line="240" w:lineRule="auto"/>
        <w:ind w:left="0" w:firstLine="900"/>
        <w:rPr>
          <w:rFonts w:ascii="Centaur" w:hAnsi="Centaur"/>
          <w:bCs/>
          <w:sz w:val="28"/>
          <w:szCs w:val="28"/>
        </w:rPr>
      </w:pPr>
      <w:r w:rsidRPr="000E5369">
        <w:rPr>
          <w:rFonts w:ascii="Centaur" w:hAnsi="Centaur"/>
          <w:bCs/>
          <w:sz w:val="28"/>
          <w:szCs w:val="28"/>
        </w:rPr>
        <w:t xml:space="preserve">The assessment and measurement of business performance is not only applied asall measure of the organization success within a certain period but also implemented as input for further improvement of organizational performance. Business performance is measured by instruments, including: (1) Qualitative and quantitative, (2) Financial and non-financial, depending on the need for measurement. Financial measures, generally financial ratios, consist of: Liquidity Ratio, Leverage, Activity, Profitability, and Market Value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{"citationItems":[{"id":"ITEM-1","itemData":{"ISBN":"1893122646","abstract":"Originally published: New York : Macmillan, 1980.","author":[{"dropping-particle":"","family":"Sloma","given":"Richard S.","non-dropping-particle":"","parse-names":false,"suffix":""}],"id":"ITEM-1","issued":{"date-parts":[["1980"]]},"publisher":"Mac Millan Publishing Co. Inc.","publisher-place":"New York","title":"How to measure managerial performance","type":"book"},"uris":["http://www.mendeley.com/documents/?uuid=314d11ee-cefd-372b-adb8-d6f6fc4e3cda"]}],"mendeley":{"formattedCitation":"(Sloma 1980)","plainTextFormattedCitation":"(Sloma 1980)","previouslyFormattedCitation":"(Sloma 1980)"},"properties":{"noteIndex":0},"schema":"https://github.com/citation-style-language/schema/raw/master/csl-citation.json"}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(Sloma 1980)</w:t>
      </w:r>
      <w:r w:rsidR="008E716B" w:rsidRPr="000E5369">
        <w:rPr>
          <w:rFonts w:ascii="Centaur" w:hAnsi="Centaur"/>
          <w:bCs/>
          <w:sz w:val="28"/>
          <w:szCs w:val="28"/>
        </w:rPr>
        <w:fldChar w:fldCharType="end"/>
      </w:r>
      <w:r w:rsidRPr="000E5369">
        <w:rPr>
          <w:rFonts w:ascii="Centaur" w:hAnsi="Centaur"/>
          <w:bCs/>
          <w:sz w:val="28"/>
          <w:szCs w:val="28"/>
        </w:rPr>
        <w:t xml:space="preserve">. Meanwhile, the supporting factors for business growth include personality, management skills, goals, and so forth. The entrepreneur's ability to handle the business growth is critical when aiming for the company’s survival amidst the accompanying chaotic atmosphere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{"citationItems":[{"id":"ITEM-1","itemData":{"author":[{"dropping-particle":"","family":"Lambing","given":"Peggy A.","non-dropping-particle":"","parse-names":false,"suffix":""},{"dropping-particle":"","family":"Kuehl","given":"Charles R.","non-dropping-particle":"","parse-names":false,"suffix":""}],"id":"ITEM-1","issued":{"date-parts":[["2003"]]},"publisher":"Prentice Hall","publisher-place":"New Jersey","title":"Enterpreunership","type":"book"},"uris":["http://www.mendeley.com/documents/?uuid=32869998-8a29-4eb8-82f5-86c27100037d"]}],"mendeley":{"formattedCitation":"(Lambing and Kuehl 2003)","plainTextFormattedCitation":"(Lambing and Kuehl 2003)","previouslyFormattedCitation":"(Lambing and Kuehl 2003)"},"properties":{"noteIndex":0},"schema":"https://github.com/citation-style-language/schema/raw/master/csl-citation.json"}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(Lambing and Kuehl 2003)</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spacing w:before="0" w:line="240" w:lineRule="auto"/>
        <w:ind w:left="0" w:firstLine="0"/>
        <w:rPr>
          <w:rFonts w:ascii="Centaur" w:hAnsi="Centaur"/>
          <w:bCs/>
          <w:sz w:val="28"/>
          <w:szCs w:val="28"/>
          <w:lang w:val="en-US"/>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Competence</w:t>
      </w:r>
    </w:p>
    <w:p w:rsidR="00497FE6" w:rsidRPr="000E5369" w:rsidRDefault="00497FE6" w:rsidP="00497FE6">
      <w:pPr>
        <w:pStyle w:val="ListParagraph"/>
        <w:spacing w:before="0" w:line="240" w:lineRule="auto"/>
        <w:ind w:left="0" w:firstLine="900"/>
        <w:rPr>
          <w:rFonts w:ascii="Centaur" w:hAnsi="Centaur"/>
          <w:bCs/>
          <w:sz w:val="28"/>
          <w:szCs w:val="28"/>
        </w:rPr>
      </w:pPr>
      <w:r w:rsidRPr="000E5369">
        <w:rPr>
          <w:rFonts w:ascii="Centaur" w:hAnsi="Centaur"/>
          <w:bCs/>
          <w:sz w:val="28"/>
          <w:szCs w:val="28"/>
        </w:rPr>
        <w:t xml:space="preserve">Competence refers to the ability possessed by an individual and the selling value along with the application of creativity and innovation. In essence, competence refers to an individual characteristic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{"citationItems":[{"id":"ITEM-1","itemData":{"abstract":"Perilaku organisasi dianggap sebagai mata kuliah yang sangat menarik untuk dipelajari. Karena disana menjelaskan berbagai seluk beluk organisasi dengan berbagai sudut pandang. Ilmu perilaku organisasi bukan hanya layak dipelajari oleh kalangan akademisi namun juga bagi para praktisi bisnis dan birokrat. Didalam buku ini juga membahas kasus dengan pendekatan kondisi di Indonesia. Tujuannya agar para pembaca menjadi lebih realistis dan aplikatif dalam memahami ilmu perilaku organisasi. Lebih jauh akan terbentuk kemampuan memecahkan masalah dalam konteks ilmu perilaku organisasi.","author":[{"dropping-particle":"","family":"Fahmi","given":"Irham;","non-dropping-particle":"","parse-names":false,"suffix":""}],"id":"ITEM-1","issued":{"date-parts":[["2014"]]},"publisher":"Alfabeta","publisher-place":"Bandung","title":"Perilaku Organisasi : Teori, Aplikasi, Dan Kasus","type":"book"},"uris":["http://www.mendeley.com/documents/?uuid=6b5146ba-4c39-35db-8f44-0aea8da96a6d"]}],"mendeley":{"formattedCitation":"(Fahmi 2014)","plainTextFormattedCitation":"(Fahmi 2014)","previouslyFormattedCitation":"(Fahmi 2014)"},"properties":{"noteIndex":0},"schema":"https://github.com/citation-style-language/schema/raw/master/csl-citation.json"}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(Fahmi 2014)</w:t>
      </w:r>
      <w:r w:rsidR="008E716B" w:rsidRPr="000E5369">
        <w:rPr>
          <w:rFonts w:ascii="Centaur" w:hAnsi="Centaur"/>
          <w:bCs/>
          <w:sz w:val="28"/>
          <w:szCs w:val="28"/>
        </w:rPr>
        <w:fldChar w:fldCharType="end"/>
      </w:r>
      <w:r w:rsidRPr="000E5369">
        <w:rPr>
          <w:rFonts w:ascii="Centaur" w:hAnsi="Centaur"/>
          <w:bCs/>
          <w:sz w:val="28"/>
          <w:szCs w:val="28"/>
        </w:rPr>
        <w:t xml:space="preserve">, serving as  basic characteristic of people leading to how to behave, think, adapt to situations, and survive for along periodoftime. Competency characteristics are indicated as follows: (a) Motive; (b) Nature; (c) Self-concept; and (e) skills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{"citationItems":[{"id":"ITEM-1","itemData":{"author":[{"dropping-particle":"","family":"Spencer","given":"Lyle M.","non-dropping-particle":"","parse-names":false,"suffix":""},{"dropping-particle":"","family":"Spencer","given":"Signe M.","non-dropping-particle":"","parse-names":false,"suffix":""}],"container-title":"undefined","id":"ITEM-1","issued":{"date-parts":[["2011"]]},"publisher":"John Wiley &amp; Sons, Inc","publisher-place":"New York","title":"Competence at Work: Models for Superior Performance","type":"book"},"uris":["http://www.mendeley.com/documents/?uuid=b9e0f9a8-0c14-3eef-864a-3a9c48a12628"]}],"mendeley":{"formattedCitation":"(Spencer and Spencer 2011)","plainTextFormattedCitation":"(Spencer and Spencer 2011)","previouslyFormattedCitation":"(Spencer and Spencer 2011)"},"properties":{"noteIndex":0},"schema":"https://github.com/citation-style-language/schema/raw/master/csl-citation.json"}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(Spencer and Spencer 2011)</w:t>
      </w:r>
      <w:r w:rsidR="008E716B" w:rsidRPr="000E5369">
        <w:rPr>
          <w:rFonts w:ascii="Centaur" w:hAnsi="Centaur"/>
          <w:bCs/>
          <w:sz w:val="28"/>
          <w:szCs w:val="28"/>
        </w:rPr>
        <w:fldChar w:fldCharType="end"/>
      </w:r>
      <w:r w:rsidRPr="000E5369">
        <w:rPr>
          <w:rFonts w:ascii="Centaur" w:hAnsi="Centaur"/>
          <w:bCs/>
          <w:sz w:val="28"/>
          <w:szCs w:val="28"/>
        </w:rPr>
        <w:t xml:space="preserve">. Thus, competence is a behavioral dimension that is behind the </w:t>
      </w:r>
      <w:r w:rsidRPr="000E5369">
        <w:rPr>
          <w:rFonts w:ascii="Centaur" w:hAnsi="Centaur"/>
          <w:bCs/>
          <w:sz w:val="28"/>
          <w:szCs w:val="28"/>
        </w:rPr>
        <w:lastRenderedPageBreak/>
        <w:t xml:space="preserve">competent performance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Michael","given":"Armstrong","non-dropping-particle":"","parse-names":false,"suffix":""},{"dropping-particle":"","family":"Baron","given":"Angela","non-dropping-particle":"","parse-names":false,"suffix":""}],"id":"ITEM-1","issued":{"date-parts":[["2010"]]},"publisher":"Institute of Personnel and Development","publisher-place":"London","title":"Performance Management","type":"book"},"uris":["http://www.mendeley.com/documents/?uuid=5f73bd22-cc77-4478-a75e-a971f4c9c883"]}],"mendeley":{"formattedCitation":"(Michael and Baron 2010)","plainTextFormattedCitation":"(Michael and Baron 2010)","previouslyFormattedCitation":"(Michael and Baron 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(Michael and Baron 2010)</w:t>
      </w:r>
      <w:r w:rsidR="008E716B" w:rsidRPr="000E5369">
        <w:rPr>
          <w:rFonts w:ascii="Centaur" w:hAnsi="Centaur"/>
          <w:bCs/>
          <w:sz w:val="28"/>
          <w:szCs w:val="28"/>
        </w:rPr>
        <w:fldChar w:fldCharType="end"/>
      </w:r>
      <w:r w:rsidRPr="000E5369">
        <w:rPr>
          <w:rFonts w:ascii="Centaur" w:hAnsi="Centaur"/>
          <w:bCs/>
          <w:sz w:val="28"/>
          <w:szCs w:val="28"/>
        </w:rPr>
        <w:t xml:space="preserve">. </w:t>
      </w:r>
    </w:p>
    <w:p w:rsidR="00497FE6" w:rsidRDefault="00497FE6" w:rsidP="00497FE6">
      <w:pPr>
        <w:pStyle w:val="ListParagraph"/>
        <w:spacing w:before="0" w:line="240" w:lineRule="auto"/>
        <w:ind w:left="0" w:firstLine="900"/>
        <w:rPr>
          <w:rFonts w:ascii="Centaur" w:hAnsi="Centaur"/>
          <w:bCs/>
          <w:color w:val="FF0000"/>
          <w:sz w:val="28"/>
          <w:szCs w:val="28"/>
        </w:rPr>
      </w:pPr>
      <w:r w:rsidRPr="000E5369">
        <w:rPr>
          <w:rFonts w:ascii="Centaur" w:hAnsi="Centaur"/>
          <w:bCs/>
          <w:sz w:val="28"/>
          <w:szCs w:val="28"/>
        </w:rPr>
        <w:t xml:space="preserve">Entrepreneurial competence refers to the ability that a person has in the creation of entrepreneurial activities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{"citationItems":[{"id":"ITEM-1","itemData":{"abstract":"Banyak orang tidak yakin untuk terjun ke dunia bisnis. Statistik menunjukkan bahwa lebih dari 85% usaha baru mengalami kebangkrutan pada tahun pertama dari kurang lebih 15% yang masih berjaya, dan tidak lebih 50% yang mampu bertahan lebih dari 5 tahun. Mungkin hal itu pula yang memberikan rasa takut kepada mereka untuk terjun ke dunia bisnis, sehingga mereka merasa lebih aman dan nyaman untuk menjadi orang gajian atau pegawai kantoran. Buku berjudul Kewirausahaan: Teori, Praktik, dan Kasus-kasus diterbitkan untuk memberikan pemahaman dan gambaran kepada mahasiswa guna melihat dunia wirausaha sebagai dunia yang patut digeluti. Semua hal yang berhubungan dengan dunia wirausaha diberikan secara terstruktur, mulai dari hal-hal dasar dunia wirausaha, seperti pengenalan dunia usaha mikro, kecil, dan menengah, dilanjutkan dengan pemberian konsep dan motivasi berwirausaha serta perencanaan dalam berwirausaha. Untuk melihat kemampuan mahasiswa dalam memahami isi materi, ada evaluasi yang di","author":[{"dropping-particle":"","family":"Saiman;","given":"Leonardus","non-dropping-particle":"","parse-names":false,"suffix":""}],"id":"ITEM-1","issued":{"date-parts":[["2009"]]},"publisher":"Salemba Empat","publisher-place":"Jakarta","title":"KEWIRAUSAHAAN : teori. praktik, dan kasus-kasus","type":"book"},"uris":["http://www.mendeley.com/documents/?uuid=05129574-be8e-316a-827b-14c7b2141240"]}],"mendeley":{"formattedCitation":"(Saiman; 2009)","plainTextFormattedCitation":"(Saiman; 2009)","previouslyFormattedCitation":"(Saiman; 2009)"},"properties":{"noteIndex":0},"schema":"https://github.com/citation-style-language/schema/raw/master/csl-citation.json"}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(Saiman; 2009)</w:t>
      </w:r>
      <w:r w:rsidR="008E716B" w:rsidRPr="000E5369">
        <w:rPr>
          <w:rFonts w:ascii="Centaur" w:hAnsi="Centaur"/>
          <w:bCs/>
          <w:sz w:val="28"/>
          <w:szCs w:val="28"/>
        </w:rPr>
        <w:fldChar w:fldCharType="end"/>
      </w:r>
      <w:r w:rsidRPr="000E5369">
        <w:rPr>
          <w:rFonts w:ascii="Centaur" w:hAnsi="Centaur"/>
          <w:bCs/>
          <w:sz w:val="28"/>
          <w:szCs w:val="28"/>
        </w:rPr>
        <w:t xml:space="preserve">. The abilities that support entrepreneurship involve creative and innovative abilitiesin crafting the new and different, start up, opportunity, risk bearing, idea development and resource combination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{"citationItems":[{"id":"ITEM-1","itemData":{"author":[{"dropping-particle":"","family":"Soegoto","given":"Eddy Soeryanto","non-dropping-particle":"","parse-names":false,"suffix":""}],"edition":"Edisi Pert","id":"ITEM-1","issued":{"date-parts":[["2009"]]},"publisher":"PT. Elek Media Komputindo","publisher-place":"Jakarta","title":"Enterpreneurship","type":"book"},"uris":["http://www.mendeley.com/documents/?uuid=9d85046f-5fe5-40d3-975f-b2d76de0a952"]}],"mendeley":{"formattedCitation":"(Soegoto 2009)","plainTextFormattedCitation":"(Soegoto 2009)","previouslyFormattedCitation":"(Soegoto 2009)"},"properties":{"noteIndex":0},"schema":"https://github.com/citation-style-language/schema/raw/master/csl-citation.json"}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(Soegoto 2009)</w:t>
      </w:r>
      <w:r w:rsidR="008E716B" w:rsidRPr="000E5369">
        <w:rPr>
          <w:rFonts w:ascii="Centaur" w:hAnsi="Centaur"/>
          <w:bCs/>
          <w:sz w:val="28"/>
          <w:szCs w:val="28"/>
        </w:rPr>
        <w:fldChar w:fldCharType="end"/>
      </w:r>
      <w:r w:rsidRPr="000E5369">
        <w:rPr>
          <w:rFonts w:ascii="Centaur" w:hAnsi="Centaur"/>
          <w:bCs/>
          <w:sz w:val="28"/>
          <w:szCs w:val="28"/>
        </w:rPr>
        <w:t>. Entrepreneurial competence comprises</w:t>
      </w:r>
      <w:r w:rsidRPr="000E5369">
        <w:rPr>
          <w:rFonts w:ascii="Centaur" w:hAnsi="Centaur"/>
          <w:bCs/>
          <w:color w:val="FFFFFF" w:themeColor="background1"/>
          <w:sz w:val="28"/>
          <w:szCs w:val="28"/>
        </w:rPr>
        <w:t>ll</w:t>
      </w:r>
      <w:r w:rsidRPr="000E5369">
        <w:rPr>
          <w:rFonts w:ascii="Centaur" w:hAnsi="Centaur"/>
          <w:bCs/>
          <w:sz w:val="28"/>
          <w:szCs w:val="28"/>
        </w:rPr>
        <w:t>knowledge,</w:t>
      </w:r>
      <w:r w:rsidRPr="000E5369">
        <w:rPr>
          <w:rFonts w:ascii="Centaur" w:hAnsi="Centaur"/>
          <w:bCs/>
          <w:color w:val="FFFFFF" w:themeColor="background1"/>
          <w:sz w:val="28"/>
          <w:szCs w:val="28"/>
        </w:rPr>
        <w:t>ll</w:t>
      </w:r>
      <w:r w:rsidRPr="000E5369">
        <w:rPr>
          <w:rFonts w:ascii="Centaur" w:hAnsi="Centaur"/>
          <w:bCs/>
          <w:sz w:val="28"/>
          <w:szCs w:val="28"/>
        </w:rPr>
        <w:t>attitudes</w:t>
      </w:r>
      <w:r w:rsidRPr="000E5369">
        <w:rPr>
          <w:rFonts w:ascii="Centaur" w:hAnsi="Centaur"/>
          <w:bCs/>
          <w:color w:val="FFFFFF" w:themeColor="background1"/>
          <w:sz w:val="28"/>
          <w:szCs w:val="28"/>
        </w:rPr>
        <w:t>l</w:t>
      </w:r>
      <w:r w:rsidRPr="000E5369">
        <w:rPr>
          <w:rFonts w:ascii="Centaur" w:hAnsi="Centaur"/>
          <w:bCs/>
          <w:sz w:val="28"/>
          <w:szCs w:val="28"/>
        </w:rPr>
        <w:t>and</w:t>
      </w:r>
      <w:r w:rsidRPr="000E5369">
        <w:rPr>
          <w:rFonts w:ascii="Centaur" w:hAnsi="Centaur"/>
          <w:bCs/>
          <w:color w:val="FFFFFF" w:themeColor="background1"/>
          <w:sz w:val="28"/>
          <w:szCs w:val="28"/>
        </w:rPr>
        <w:t>l</w:t>
      </w:r>
      <w:r w:rsidRPr="000E5369">
        <w:rPr>
          <w:rFonts w:ascii="Centaur" w:hAnsi="Centaur"/>
          <w:bCs/>
          <w:sz w:val="28"/>
          <w:szCs w:val="28"/>
        </w:rPr>
        <w:t>skills</w:t>
      </w:r>
      <w:r w:rsidRPr="000E5369">
        <w:rPr>
          <w:rFonts w:ascii="Centaur" w:hAnsi="Centaur"/>
          <w:bCs/>
          <w:color w:val="FFFFFF" w:themeColor="background1"/>
          <w:sz w:val="28"/>
          <w:szCs w:val="28"/>
        </w:rPr>
        <w:t>l</w:t>
      </w:r>
      <w:r w:rsidRPr="000E5369">
        <w:rPr>
          <w:rFonts w:ascii="Centaur" w:hAnsi="Centaur"/>
          <w:bCs/>
          <w:sz w:val="28"/>
          <w:szCs w:val="28"/>
        </w:rPr>
        <w:t>connected</w:t>
      </w:r>
      <w:r w:rsidRPr="000E5369">
        <w:rPr>
          <w:rFonts w:ascii="Centaur" w:hAnsi="Centaur"/>
          <w:bCs/>
          <w:color w:val="FFFFFF" w:themeColor="background1"/>
          <w:sz w:val="28"/>
          <w:szCs w:val="28"/>
        </w:rPr>
        <w:t>l</w:t>
      </w:r>
      <w:r w:rsidRPr="000E5369">
        <w:rPr>
          <w:rFonts w:ascii="Centaur" w:hAnsi="Centaur"/>
          <w:bCs/>
          <w:sz w:val="28"/>
          <w:szCs w:val="28"/>
        </w:rPr>
        <w:t>to each other, further requiring the train and development to</w:t>
      </w:r>
      <w:r w:rsidRPr="000E5369">
        <w:rPr>
          <w:rFonts w:ascii="Centaur" w:hAnsi="Centaur"/>
          <w:bCs/>
          <w:color w:val="FFFFFF" w:themeColor="background1"/>
          <w:sz w:val="28"/>
          <w:szCs w:val="28"/>
        </w:rPr>
        <w:t>l</w:t>
      </w:r>
      <w:r w:rsidRPr="000E5369">
        <w:rPr>
          <w:rFonts w:ascii="Centaur" w:hAnsi="Centaur"/>
          <w:bCs/>
          <w:sz w:val="28"/>
          <w:szCs w:val="28"/>
        </w:rPr>
        <w:t>produce</w:t>
      </w:r>
      <w:r w:rsidRPr="000E5369">
        <w:rPr>
          <w:rFonts w:ascii="Centaur" w:hAnsi="Centaur"/>
          <w:bCs/>
          <w:color w:val="FFFFFF" w:themeColor="background1"/>
          <w:sz w:val="28"/>
          <w:szCs w:val="28"/>
        </w:rPr>
        <w:t>l</w:t>
      </w:r>
      <w:r w:rsidRPr="000E5369">
        <w:rPr>
          <w:rFonts w:ascii="Centaur" w:hAnsi="Centaur"/>
          <w:bCs/>
          <w:sz w:val="28"/>
          <w:szCs w:val="28"/>
        </w:rPr>
        <w:t>the</w:t>
      </w:r>
      <w:r w:rsidRPr="000E5369">
        <w:rPr>
          <w:rFonts w:ascii="Centaur" w:hAnsi="Centaur"/>
          <w:bCs/>
          <w:color w:val="FFFFFF" w:themeColor="background1"/>
          <w:sz w:val="28"/>
          <w:szCs w:val="28"/>
        </w:rPr>
        <w:t>l</w:t>
      </w:r>
      <w:r w:rsidRPr="000E5369">
        <w:rPr>
          <w:rFonts w:ascii="Centaur" w:hAnsi="Centaur"/>
          <w:bCs/>
          <w:sz w:val="28"/>
          <w:szCs w:val="28"/>
        </w:rPr>
        <w:t>best</w:t>
      </w:r>
      <w:r w:rsidRPr="000E5369">
        <w:rPr>
          <w:rFonts w:ascii="Centaur" w:hAnsi="Centaur"/>
          <w:bCs/>
          <w:color w:val="FFFFFF" w:themeColor="background1"/>
          <w:sz w:val="28"/>
          <w:szCs w:val="28"/>
        </w:rPr>
        <w:t>l</w:t>
      </w:r>
      <w:r w:rsidRPr="000E5369">
        <w:rPr>
          <w:rFonts w:ascii="Centaur" w:hAnsi="Centaur"/>
          <w:bCs/>
          <w:sz w:val="28"/>
          <w:szCs w:val="28"/>
        </w:rPr>
        <w:t>performance</w:t>
      </w:r>
      <w:r w:rsidRPr="000E5369">
        <w:rPr>
          <w:rFonts w:ascii="Centaur" w:hAnsi="Centaur"/>
          <w:bCs/>
          <w:color w:val="FFFFFF" w:themeColor="background1"/>
          <w:sz w:val="28"/>
          <w:szCs w:val="28"/>
        </w:rPr>
        <w:t>l</w:t>
      </w:r>
      <w:r w:rsidRPr="000E5369">
        <w:rPr>
          <w:rFonts w:ascii="Centaur" w:hAnsi="Centaur"/>
          <w:bCs/>
          <w:sz w:val="28"/>
          <w:szCs w:val="28"/>
        </w:rPr>
        <w:t>in</w:t>
      </w:r>
      <w:r w:rsidRPr="000E5369">
        <w:rPr>
          <w:rFonts w:ascii="Centaur" w:hAnsi="Centaur"/>
          <w:bCs/>
          <w:color w:val="FFFFFF" w:themeColor="background1"/>
          <w:sz w:val="28"/>
          <w:szCs w:val="28"/>
        </w:rPr>
        <w:t>l</w:t>
      </w:r>
      <w:r w:rsidRPr="000E5369">
        <w:rPr>
          <w:rFonts w:ascii="Centaur" w:hAnsi="Centaur"/>
          <w:bCs/>
          <w:sz w:val="28"/>
          <w:szCs w:val="28"/>
        </w:rPr>
        <w:t>managing business</w:t>
      </w:r>
      <w:r w:rsidRPr="000E5369">
        <w:rPr>
          <w:rFonts w:ascii="Centaur" w:hAnsi="Centaur"/>
          <w:bCs/>
          <w:color w:val="FF0000"/>
          <w:sz w:val="28"/>
          <w:szCs w:val="28"/>
        </w:rPr>
        <w:t>.</w:t>
      </w:r>
    </w:p>
    <w:p w:rsidR="00D52B0A" w:rsidRPr="000E5369" w:rsidRDefault="00D52B0A" w:rsidP="00497FE6">
      <w:pPr>
        <w:pStyle w:val="ListParagraph"/>
        <w:spacing w:before="0" w:line="240" w:lineRule="auto"/>
        <w:ind w:left="0" w:firstLine="900"/>
        <w:rPr>
          <w:rFonts w:ascii="Centaur" w:hAnsi="Centaur"/>
          <w:bCs/>
          <w:color w:val="FF0000"/>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Motivation</w:t>
      </w:r>
    </w:p>
    <w:p w:rsidR="00497FE6" w:rsidRPr="000E5369" w:rsidRDefault="00497FE6" w:rsidP="00497FE6">
      <w:pPr>
        <w:pStyle w:val="ListParagraph"/>
        <w:spacing w:before="0" w:line="240" w:lineRule="auto"/>
        <w:ind w:left="0" w:firstLine="900"/>
        <w:rPr>
          <w:rFonts w:ascii="Centaur" w:hAnsi="Centaur"/>
          <w:bCs/>
          <w:sz w:val="28"/>
          <w:szCs w:val="28"/>
        </w:rPr>
      </w:pPr>
      <w:r w:rsidRPr="000E5369">
        <w:rPr>
          <w:rFonts w:ascii="Centaur" w:hAnsi="Centaur"/>
          <w:bCs/>
          <w:sz w:val="28"/>
          <w:szCs w:val="28"/>
        </w:rPr>
        <w:t xml:space="preserve">Motivation comprises a person's desire to act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{"citationItems":[{"id":"ITEM-1","itemData":{"ISBN":"0751306290","abstract":"Analyzing motivation -- Building up motivation -- Getting the best from people -- Rewarding achievement.","author":[{"dropping-particle":"","family":"Heller","given":"Robert","non-dropping-particle":"","parse-names":false,"suffix":""}],"id":"ITEM-1","issued":{"date-parts":[["2011"]]},"number-of-pages":"72","publisher":"Dorling Kindersley","publisher-place":"London","title":"Motivating people","type":"book"},"uris":["http://www.mendeley.com/documents/?uuid=2e5ba54f-ba83-325b-ad75-4252d3904079"]}],"mendeley":{"formattedCitation":"(Heller 2011)","plainTextFormattedCitation":"(Heller 2011)","previouslyFormattedCitation":"(Heller 2011)"},"properties":{"noteIndex":0},"schema":"https://github.com/citation-style-language/schema/raw/master/csl-citation.json"}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(Heller 2011)</w:t>
      </w:r>
      <w:r w:rsidR="008E716B" w:rsidRPr="000E5369">
        <w:rPr>
          <w:rFonts w:ascii="Centaur" w:hAnsi="Centaur"/>
          <w:bCs/>
          <w:sz w:val="28"/>
          <w:szCs w:val="28"/>
        </w:rPr>
        <w:fldChar w:fldCharType="end"/>
      </w:r>
      <w:r w:rsidRPr="000E5369">
        <w:rPr>
          <w:rFonts w:ascii="Centaur" w:hAnsi="Centaur"/>
          <w:bCs/>
          <w:sz w:val="28"/>
          <w:szCs w:val="28"/>
        </w:rPr>
        <w:t xml:space="preserve">, asaprocess generating a person's intensity, direction, and continuous effort towards achieving goals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{"citationItems":[{"id":"ITEM-1","itemData":{"ISBN":"9780130166807","abstract":"Knowledge of the occurrence and mobility of carbonate-rich melts in the Earth's mantle is important for understanding the deep carbon cycle and related geochemical and geophysical processes. However, our understanding of the mobility of carbonate-rich ...\\n","author":[{"dropping-particle":"","family":"Robbins","given":"Stephen","non-dropping-particle":"","parse-names":false,"suffix":""}],"edition":"9th ed.","id":"ITEM-1","issued":{"date-parts":[["2003"]]},"publisher":"Prentice Hall","publisher-place":"California","title":"Organisational Behavior","type":"book"},"uris":["http://www.mendeley.com/documents/?uuid=a403bd79-a179-3bd9-8356-8f8da9409b0b"]}],"mendeley":{"formattedCitation":"(Robbins 2003)","plainTextFormattedCitation":"(Robbins 2003)","previouslyFormattedCitation":"(Robbins 2003)"},"properties":{"noteIndex":0},"schema":"https://github.com/citation-style-language/schema/raw/master/csl-citation.json"}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(Robbins 2003)</w:t>
      </w:r>
      <w:r w:rsidR="008E716B" w:rsidRPr="000E5369">
        <w:rPr>
          <w:rFonts w:ascii="Centaur" w:hAnsi="Centaur"/>
          <w:bCs/>
          <w:sz w:val="28"/>
          <w:szCs w:val="28"/>
        </w:rPr>
        <w:fldChar w:fldCharType="end"/>
      </w:r>
      <w:r w:rsidRPr="000E5369">
        <w:rPr>
          <w:rFonts w:ascii="Centaur" w:hAnsi="Centaur"/>
          <w:bCs/>
          <w:sz w:val="28"/>
          <w:szCs w:val="28"/>
        </w:rPr>
        <w:t xml:space="preserve">. “Motivation involves a series of processes that generate, direct, and maintain human behavior towards the achievement of goals”. Therefore, the notion of work motivation becomes an encouragement from within a person and or from external factors indicated by a series of processes of one's behavior to achieve organizational goals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{"citationItems":[{"id":"ITEM-1","itemData":{"author":[{"dropping-particle":"","family":"Greenberg","given":"Jerald","non-dropping-particle":"","parse-names":false,"suffix":""},{"dropping-particle":"","family":"Baron","given":"Robert A.","non-dropping-particle":"","parse-names":false,"suffix":""}],"id":"ITEM-1","issued":{"date-parts":[["2010"]]},"publisher":"Prentice Hall","publisher-place":"New Jersey","title":"Behavior in Organizations","type":"book"},"uris":["http://www.mendeley.com/documents/?uuid=999a8a29-9a80-3f28-8e5d-38316407b3c1"]}],"mendeley":{"formattedCitation":"(Greenberg and Baron 2010)","plainTextFormattedCitation":"(Greenberg and Baron 2010)","previouslyFormattedCitation":"(Greenberg and Baron 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(Greenberg and Baron 2010)</w:t>
      </w:r>
      <w:r w:rsidR="008E716B" w:rsidRPr="000E5369">
        <w:rPr>
          <w:rFonts w:ascii="Centaur" w:hAnsi="Centaur"/>
          <w:bCs/>
          <w:sz w:val="28"/>
          <w:szCs w:val="28"/>
        </w:rPr>
        <w:fldChar w:fldCharType="end"/>
      </w:r>
      <w:r w:rsidRPr="000E5369">
        <w:rPr>
          <w:rFonts w:ascii="Centaur" w:hAnsi="Centaur"/>
          <w:bCs/>
          <w:sz w:val="28"/>
          <w:szCs w:val="28"/>
        </w:rPr>
        <w:t xml:space="preserve">. Furthermore, the elements contained in work motivation include the following actions such as to: generate, direct, maintain, indicate intensity or intention, continue, and achieve a goal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{"citationItems":[{"id":"ITEM-1","itemData":{"author":[{"dropping-particle":"","family":"Wibowo","given":"","non-dropping-particle":"","parse-names":false,"suffix":""}],"edition":"Edisi Keti","id":"ITEM-1","issued":{"date-parts":[["2007"]]},"publisher":"Rajagrafindo Persada","publisher-place":"Jakarta","title":"Manajemen Kinerja","type":"book"},"uris":["http://www.mendeley.com/documents/?uuid=7a7f0817-8560-36ee-8051-f4bc9e8a544e"]}],"mendeley":{"formattedCitation":"(Wibowo 2007)","plainTextFormattedCitation":"(Wibowo 2007)","previouslyFormattedCitation":"(Wibowo 2007)"},"properties":{"noteIndex":0},"schema":"https://github.com/citation-style-language/schema/raw/master/csl-citation.json"}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(Wibowo 2007)</w:t>
      </w:r>
      <w:r w:rsidR="008E716B" w:rsidRPr="000E5369">
        <w:rPr>
          <w:rFonts w:ascii="Centaur" w:hAnsi="Centaur"/>
          <w:bCs/>
          <w:sz w:val="28"/>
          <w:szCs w:val="28"/>
        </w:rPr>
        <w:fldChar w:fldCharType="end"/>
      </w:r>
      <w:r w:rsidRPr="000E5369">
        <w:rPr>
          <w:rFonts w:ascii="Centaur" w:hAnsi="Centaur"/>
          <w:bCs/>
          <w:sz w:val="28"/>
          <w:szCs w:val="28"/>
        </w:rPr>
        <w:t xml:space="preserve">.  </w:t>
      </w:r>
    </w:p>
    <w:p w:rsidR="00497FE6" w:rsidRPr="000E5369" w:rsidRDefault="00497FE6" w:rsidP="00497FE6">
      <w:pPr>
        <w:pStyle w:val="ListParagraph"/>
        <w:spacing w:before="0" w:line="240" w:lineRule="auto"/>
        <w:ind w:left="0" w:firstLine="900"/>
        <w:rPr>
          <w:rFonts w:ascii="Centaur" w:hAnsi="Centaur"/>
          <w:bCs/>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Entrepreneurship Orientation</w:t>
      </w:r>
    </w:p>
    <w:p w:rsidR="00497FE6" w:rsidRPr="000E5369" w:rsidRDefault="00497FE6" w:rsidP="00497FE6">
      <w:pPr>
        <w:pStyle w:val="ListParagraph"/>
        <w:spacing w:before="0" w:line="240" w:lineRule="auto"/>
        <w:ind w:left="0" w:firstLine="900"/>
        <w:rPr>
          <w:rFonts w:ascii="Centaur" w:hAnsi="Centaur"/>
          <w:color w:val="FF0000"/>
          <w:sz w:val="28"/>
          <w:szCs w:val="28"/>
        </w:rPr>
      </w:pPr>
      <w:r w:rsidRPr="000E5369">
        <w:rPr>
          <w:rFonts w:ascii="Centaur" w:hAnsi="Centaur"/>
          <w:bCs/>
          <w:sz w:val="28"/>
          <w:szCs w:val="28"/>
        </w:rPr>
        <w:t>Entrepreneurship</w:t>
      </w:r>
      <w:r w:rsidRPr="000E5369">
        <w:rPr>
          <w:rFonts w:ascii="Centaur" w:hAnsi="Centaur"/>
          <w:bCs/>
          <w:color w:val="FFFFFF" w:themeColor="background1"/>
          <w:sz w:val="28"/>
          <w:szCs w:val="28"/>
        </w:rPr>
        <w:t>l</w:t>
      </w:r>
      <w:r w:rsidRPr="000E5369">
        <w:rPr>
          <w:rFonts w:ascii="Centaur" w:hAnsi="Centaur"/>
          <w:sz w:val="28"/>
          <w:szCs w:val="28"/>
        </w:rPr>
        <w:t xml:space="preserve">orientation involves the ability of someone engaged in a business having a mindset with basic characters, suchas action-oriented, modest thinking, creating opportunities with high discipline, thusimplicitly called as an entrepreneur when having an entrepreneurial orientation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{"citationItems":[{"id":"ITEM-1","itemData":{"author":[{"dropping-particle":"","family":"Kasali","given":"Rhenald","non-dropping-particle":"","parse-names":false,"suffix":""}],"edition":"-","id":"ITEM-1","issued":{"date-parts":[["2010"]]},"publisher":"Hikmah (PT Mizan Publika)","publisher-place":"Bandung","title":"Modul Kewirausahaan","type":"book"},"uris":["http://www.mendeley.com/documents/?uuid=f0019fa9-84f1-3db8-901f-8628c4c7cacb"]}],"mendeley":{"formattedCitation":"(Kasali 2010)","plainTextFormattedCitation":"(Kasali 2010)","previouslyFormattedCitation":"(Kasali 2010)"},"properties":{"noteIndex":0},"schema":"https://github.com/citation-style-language/schema/raw/master/csl-citation.json"}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(Kasali 2010)</w:t>
      </w:r>
      <w:r w:rsidR="008E716B" w:rsidRPr="000E5369">
        <w:rPr>
          <w:rFonts w:ascii="Centaur" w:hAnsi="Centaur"/>
          <w:sz w:val="28"/>
          <w:szCs w:val="28"/>
        </w:rPr>
        <w:fldChar w:fldCharType="end"/>
      </w:r>
      <w:r w:rsidRPr="000E5369">
        <w:rPr>
          <w:rFonts w:ascii="Centaur" w:hAnsi="Centaur"/>
          <w:sz w:val="28"/>
          <w:szCs w:val="28"/>
        </w:rPr>
        <w:t xml:space="preserve">. Entrepreneurship orientation is performed by someone who has the ability to creatively think and innovatively act in order to create opportunities in the engaged business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{"citationItems":[{"id":"ITEM-1","itemData":{"author":[{"dropping-particle":"","family":"Suryana","given":"","non-dropping-particle":"","parse-names":false,"suffix":""}],"edition":"Edisi Revi","id":"ITEM-1","issued":{"date-parts":[["2010"]]},"publisher":"Salemba Empat","publisher-place":"Jakarta","title":"Kewirausahaan, Pedoman Praktis, Kiat dan Proses Menuju Sukses","type":"book"},"uris":["http://www.mendeley.com/documents/?uuid=d92398ae-fa67-4d41-a53f-12669421f156"]}],"mendeley":{"formattedCitation":"(Suryana 2010)","plainTextFormattedCitation":"(Suryana 2010)","previouslyFormattedCitation":"(Suryana 2010)"},"properties":{"noteIndex":0},"schema":"https://github.com/citation-style-language/schema/raw/master/csl-citation.json"}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(Suryana 2010)</w:t>
      </w:r>
      <w:r w:rsidR="008E716B" w:rsidRPr="000E5369">
        <w:rPr>
          <w:rFonts w:ascii="Centaur" w:hAnsi="Centaur"/>
          <w:sz w:val="28"/>
          <w:szCs w:val="28"/>
        </w:rPr>
        <w:fldChar w:fldCharType="end"/>
      </w:r>
      <w:r w:rsidRPr="000E5369">
        <w:rPr>
          <w:rFonts w:ascii="Centaur" w:hAnsi="Centaur"/>
          <w:sz w:val="28"/>
          <w:szCs w:val="28"/>
        </w:rPr>
        <w:t xml:space="preserve">. The main capital of entrepreneurship does not solely lie in the money-matters, but the belief to win. Often many people are constrainedby material limitations (such as money, place of business, and products) to start a business, frequently focusing on boundaries and ending up from not moving forward. However, there is capital that is not money, which powerfully affects the success of a business such as, which is the belief to win in business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{"citationItems":[{"id":"ITEM-1","itemData":{"author":[{"dropping-particle":"","family":"Kasali","given":"Rhenald","non-dropping-particle":"","parse-names":false,"suffix":""}],"edition":"-","id":"ITEM-1","issued":{"date-parts":[["2010"]]},"publisher":"Hikmah (PT Mizan Publika)","publisher-place":"Bandung","title":"Modul Kewirausahaan","type":"book"},"uris":["http://www.mendeley.com/documents/?uuid=f0019fa9-84f1-3db8-901f-8628c4c7cacb"]}],"mendeley":{"formattedCitation":"(Kasali 2010)","plainTextFormattedCitation":"(Kasali 2010)","previouslyFormattedCitation":"(Kasali 2010)"},"properties":{"noteIndex":0},"schema":"https://github.com/citation-style-language/schema/raw/master/csl-citation.json"}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(Kasali 2010)</w:t>
      </w:r>
      <w:r w:rsidR="008E716B" w:rsidRPr="000E5369">
        <w:rPr>
          <w:rFonts w:ascii="Centaur" w:hAnsi="Centaur"/>
          <w:sz w:val="28"/>
          <w:szCs w:val="28"/>
        </w:rPr>
        <w:fldChar w:fldCharType="end"/>
      </w:r>
      <w:r w:rsidRPr="000E5369">
        <w:rPr>
          <w:rFonts w:ascii="Centaur" w:hAnsi="Centaur"/>
          <w:sz w:val="28"/>
          <w:szCs w:val="28"/>
        </w:rPr>
        <w:t>.</w:t>
      </w:r>
    </w:p>
    <w:p w:rsidR="00497FE6" w:rsidRPr="000E5369" w:rsidRDefault="00497FE6" w:rsidP="00497FE6">
      <w:pPr>
        <w:pStyle w:val="ListParagraph"/>
        <w:spacing w:before="0" w:line="240" w:lineRule="auto"/>
        <w:ind w:left="0" w:firstLine="900"/>
        <w:rPr>
          <w:rFonts w:ascii="Centaur" w:hAnsi="Centaur"/>
          <w:sz w:val="28"/>
          <w:szCs w:val="28"/>
        </w:rPr>
      </w:pPr>
      <w:r w:rsidRPr="000E5369">
        <w:rPr>
          <w:rFonts w:ascii="Centaur" w:hAnsi="Centaur"/>
          <w:sz w:val="28"/>
          <w:szCs w:val="28"/>
        </w:rPr>
        <w:t>Entrepreneurship</w:t>
      </w:r>
      <w:r w:rsidRPr="000E5369">
        <w:rPr>
          <w:rFonts w:ascii="Centaur" w:hAnsi="Centaur"/>
          <w:color w:val="FFFFFF" w:themeColor="background1"/>
          <w:sz w:val="28"/>
          <w:szCs w:val="28"/>
        </w:rPr>
        <w:t>l</w:t>
      </w:r>
      <w:r w:rsidRPr="000E5369">
        <w:rPr>
          <w:rFonts w:ascii="Centaur" w:hAnsi="Centaur"/>
          <w:sz w:val="28"/>
          <w:szCs w:val="28"/>
        </w:rPr>
        <w:t>refers</w:t>
      </w:r>
      <w:r w:rsidRPr="000E5369">
        <w:rPr>
          <w:rFonts w:ascii="Centaur" w:hAnsi="Centaur"/>
          <w:color w:val="FFFFFF" w:themeColor="background1"/>
          <w:sz w:val="28"/>
          <w:szCs w:val="28"/>
        </w:rPr>
        <w:t>l</w:t>
      </w:r>
      <w:r w:rsidRPr="000E5369">
        <w:rPr>
          <w:rFonts w:ascii="Centaur" w:hAnsi="Centaur"/>
          <w:sz w:val="28"/>
          <w:szCs w:val="28"/>
        </w:rPr>
        <w:t>to</w:t>
      </w:r>
      <w:r w:rsidRPr="000E5369">
        <w:rPr>
          <w:rFonts w:ascii="Centaur" w:hAnsi="Centaur"/>
          <w:color w:val="FFFFFF" w:themeColor="background1"/>
          <w:sz w:val="28"/>
          <w:szCs w:val="28"/>
        </w:rPr>
        <w:t>l</w:t>
      </w: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process</w:t>
      </w:r>
      <w:r w:rsidRPr="000E5369">
        <w:rPr>
          <w:rFonts w:ascii="Centaur" w:hAnsi="Centaur"/>
          <w:color w:val="FFFFFF" w:themeColor="background1"/>
          <w:sz w:val="28"/>
          <w:szCs w:val="28"/>
        </w:rPr>
        <w:t>l</w:t>
      </w:r>
      <w:r w:rsidRPr="000E5369">
        <w:rPr>
          <w:rFonts w:ascii="Centaur" w:hAnsi="Centaur"/>
          <w:sz w:val="28"/>
          <w:szCs w:val="28"/>
        </w:rPr>
        <w:t>of creating new</w:t>
      </w:r>
      <w:r w:rsidRPr="000E5369">
        <w:rPr>
          <w:rFonts w:ascii="Centaur" w:hAnsi="Centaur"/>
          <w:color w:val="FFFFFF" w:themeColor="background1"/>
          <w:sz w:val="28"/>
          <w:szCs w:val="28"/>
        </w:rPr>
        <w:t>l</w:t>
      </w:r>
      <w:r w:rsidRPr="000E5369">
        <w:rPr>
          <w:rFonts w:ascii="Centaur" w:hAnsi="Centaur"/>
          <w:sz w:val="28"/>
          <w:szCs w:val="28"/>
        </w:rPr>
        <w:t xml:space="preserve">and valuable </w:t>
      </w:r>
      <w:r w:rsidRPr="000E5369">
        <w:rPr>
          <w:rFonts w:ascii="Centaur" w:hAnsi="Centaur"/>
          <w:sz w:val="28"/>
          <w:szCs w:val="28"/>
        </w:rPr>
        <w:lastRenderedPageBreak/>
        <w:t xml:space="preserve">matter through the devoted effort and time involving inner strength, financial capital, social risk along with receiving rewardsintheformof value for moneyand personal satisfaction. Besides having an independent nature entrepreneurship refers to a method to stimulate an individual in capitalizing or taking advantage of opportunities in the organization, by employing creativity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{"citationItems":[{"id":"ITEM-1","itemData":{"ISBN":"9788578110796","ISSN":"1098-6596","PMID":"25246403","abstract":"Predicting the binding mode of flexible polypeptides to proteins is an important task that falls outside the domain of applicability of most small molecule and protein</w:instrText>
      </w:r>
      <w:r w:rsidRPr="000E5369">
        <w:rPr>
          <w:sz w:val="28"/>
          <w:szCs w:val="28"/>
        </w:rPr>
        <w:instrText>−</w:instrText>
      </w:r>
      <w:r w:rsidRPr="000E5369">
        <w:rPr>
          <w:rFonts w:ascii="Centaur" w:hAnsi="Centaur"/>
          <w:sz w:val="28"/>
          <w:szCs w:val="28"/>
        </w:rPr>
        <w:instrText>protein docking tools. Here, we test the small molecule flexible ligand docking program Glide on a set of 19 non-</w:instrText>
      </w:r>
      <w:r w:rsidRPr="000E5369">
        <w:rPr>
          <w:rFonts w:ascii="Cambria" w:hAnsi="Cambria" w:cs="Cambria"/>
          <w:sz w:val="28"/>
          <w:szCs w:val="28"/>
        </w:rPr>
        <w:instrText>α</w:instrText>
      </w:r>
      <w:r w:rsidRPr="000E5369">
        <w:rPr>
          <w:rFonts w:ascii="Centaur" w:hAnsi="Centaur"/>
          <w:sz w:val="28"/>
          <w:szCs w:val="28"/>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approach.","author":[{"dropping-particle":"","family":"Hisrich","given":"Robert D.","non-dropping-particle":"","parse-names":false,"suffix":""},{"dropping-particle":"","family":"Peters","given":"Micahel P.","non-dropping-particle":"","parse-names":false,"suffix":""},{"dropping-particle":"","family":"Sepherd","given":"Dean A.","non-dropping-particle":"","parse-names":false,"suffix":""}],"container-title":"Mc Graw Hill Education","id":"ITEM-1","issue":"9","issued":{"date-parts":[["2017"]]},"number-of-pages":"603","publisher":"Mc Graw Hill","publisher-place":"New York","title":"Enterprenuership","type":"book","volume":"10"},"uris":["http://www.mendeley.com/documents/?uuid=a9695098-2c6d-4a67-a692-9329b29c58a0"]}],"mendeley":{"formattedCitation":"(Hisrich, Peters, and Sepherd 2017)","plainTextFormattedCitation":"(Hisrich, Peters, and Sepherd 2017)","previouslyFormattedCitation":"(Hisrich, Peters, and Sepherd 2017)"},"properties":{"noteIndex":0},"schema":"https://github.com/citation-style-language/schema/raw/master/csl-citation.json"}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(Hisrich, Peters, and Sepherd 2017)</w:t>
      </w:r>
      <w:r w:rsidR="008E716B" w:rsidRPr="000E5369">
        <w:rPr>
          <w:rFonts w:ascii="Centaur" w:hAnsi="Centaur"/>
          <w:sz w:val="28"/>
          <w:szCs w:val="28"/>
        </w:rPr>
        <w:fldChar w:fldCharType="end"/>
      </w:r>
      <w:r w:rsidRPr="000E5369">
        <w:rPr>
          <w:rFonts w:ascii="Centaur" w:hAnsi="Centaur"/>
          <w:sz w:val="28"/>
          <w:szCs w:val="28"/>
        </w:rPr>
        <w:t xml:space="preserve">.  </w:t>
      </w:r>
    </w:p>
    <w:p w:rsidR="00497FE6" w:rsidRPr="000E5369" w:rsidRDefault="00497FE6" w:rsidP="00497FE6">
      <w:pPr>
        <w:pStyle w:val="ListParagraph"/>
        <w:spacing w:before="0" w:line="240" w:lineRule="auto"/>
        <w:ind w:left="0" w:firstLine="567"/>
        <w:rPr>
          <w:rFonts w:ascii="Centaur" w:hAnsi="Centaur"/>
          <w:color w:val="FF0000"/>
          <w:sz w:val="28"/>
          <w:szCs w:val="28"/>
        </w:rPr>
      </w:pPr>
    </w:p>
    <w:p w:rsidR="00497FE6" w:rsidRPr="000E5369" w:rsidRDefault="008B5375" w:rsidP="00497FE6">
      <w:pPr>
        <w:spacing w:before="0" w:line="240" w:lineRule="auto"/>
        <w:ind w:left="360"/>
        <w:jc w:val="both"/>
        <w:rPr>
          <w:rFonts w:ascii="Centaur" w:hAnsi="Centaur"/>
          <w:b/>
          <w:bCs/>
          <w:sz w:val="28"/>
          <w:szCs w:val="28"/>
        </w:rPr>
      </w:pPr>
      <w:r>
        <w:rPr>
          <w:rFonts w:ascii="Centaur" w:hAnsi="Centaur"/>
          <w:b/>
          <w:bCs/>
          <w:sz w:val="28"/>
          <w:szCs w:val="28"/>
        </w:rPr>
        <w:t xml:space="preserve">Resource-Based View </w:t>
      </w:r>
      <w:r>
        <w:rPr>
          <w:rFonts w:ascii="Centaur" w:hAnsi="Centaur"/>
          <w:b/>
          <w:bCs/>
          <w:sz w:val="28"/>
          <w:szCs w:val="28"/>
          <w:lang w:val="en-US"/>
        </w:rPr>
        <w:t>T</w:t>
      </w:r>
      <w:r w:rsidR="00497FE6" w:rsidRPr="000E5369">
        <w:rPr>
          <w:rFonts w:ascii="Centaur" w:hAnsi="Centaur"/>
          <w:b/>
          <w:bCs/>
          <w:sz w:val="28"/>
          <w:szCs w:val="28"/>
        </w:rPr>
        <w:t>heory (RBV)</w:t>
      </w:r>
    </w:p>
    <w:p w:rsidR="00497FE6" w:rsidRPr="000E5369" w:rsidRDefault="00497FE6" w:rsidP="00497FE6">
      <w:pPr>
        <w:pStyle w:val="ListParagraph"/>
        <w:spacing w:before="0" w:line="240" w:lineRule="auto"/>
        <w:ind w:left="0" w:firstLine="900"/>
        <w:rPr>
          <w:rFonts w:ascii="Centaur" w:hAnsi="Centaur"/>
          <w:bCs/>
          <w:color w:val="FF0000"/>
          <w:sz w:val="28"/>
          <w:szCs w:val="28"/>
        </w:rPr>
      </w:pPr>
      <w:r w:rsidRPr="000E5369">
        <w:rPr>
          <w:rFonts w:ascii="Centaur" w:hAnsi="Centaur"/>
          <w:bCs/>
          <w:sz w:val="28"/>
          <w:szCs w:val="28"/>
        </w:rPr>
        <w:t>RBV theory</w:t>
      </w:r>
      <w:r w:rsidRPr="000E5369">
        <w:rPr>
          <w:rFonts w:ascii="Centaur" w:hAnsi="Centaur"/>
          <w:color w:val="FFFFFF" w:themeColor="background1"/>
          <w:sz w:val="28"/>
          <w:szCs w:val="28"/>
        </w:rPr>
        <w:t>l</w:t>
      </w:r>
      <w:r w:rsidRPr="000E5369">
        <w:rPr>
          <w:rFonts w:ascii="Centaur" w:hAnsi="Centaur"/>
          <w:bCs/>
          <w:sz w:val="28"/>
          <w:szCs w:val="28"/>
        </w:rPr>
        <w:t>explains the</w:t>
      </w:r>
      <w:r w:rsidRPr="000E5369">
        <w:rPr>
          <w:rFonts w:ascii="Centaur" w:hAnsi="Centaur"/>
          <w:color w:val="FFFFFF" w:themeColor="background1"/>
          <w:sz w:val="28"/>
          <w:szCs w:val="28"/>
        </w:rPr>
        <w:t>l</w:t>
      </w:r>
      <w:r w:rsidRPr="000E5369">
        <w:rPr>
          <w:rFonts w:ascii="Centaur" w:hAnsi="Centaur"/>
          <w:bCs/>
          <w:sz w:val="28"/>
          <w:szCs w:val="28"/>
        </w:rPr>
        <w:t>importance</w:t>
      </w:r>
      <w:r w:rsidRPr="000E5369">
        <w:rPr>
          <w:rFonts w:ascii="Centaur" w:hAnsi="Centaur"/>
          <w:color w:val="FFFFFF" w:themeColor="background1"/>
          <w:sz w:val="28"/>
          <w:szCs w:val="28"/>
        </w:rPr>
        <w:t>l</w:t>
      </w:r>
      <w:r w:rsidRPr="000E5369">
        <w:rPr>
          <w:rFonts w:ascii="Centaur" w:hAnsi="Centaur"/>
          <w:bCs/>
          <w:sz w:val="28"/>
          <w:szCs w:val="28"/>
        </w:rPr>
        <w:t>of resources to provide more economic advantages to owners with fixed or limited resource ownership. The strength of the RBV theory lies in its ability to explain the exploitation of business processes, such as why a company has high performance and competitive advantage compared to its competitors due to the company uniqueness, uncommonness, and irreplacable nature by other resources.</w:t>
      </w:r>
    </w:p>
    <w:p w:rsidR="00497FE6" w:rsidRPr="000E5369" w:rsidRDefault="00497FE6" w:rsidP="00497FE6">
      <w:pPr>
        <w:pStyle w:val="ListParagraph"/>
        <w:spacing w:before="0" w:line="240" w:lineRule="auto"/>
        <w:ind w:left="0" w:firstLine="900"/>
        <w:rPr>
          <w:rFonts w:ascii="Centaur" w:hAnsi="Centaur"/>
          <w:bCs/>
          <w:sz w:val="28"/>
          <w:szCs w:val="28"/>
        </w:rPr>
      </w:pPr>
      <w:r w:rsidRPr="000E5369">
        <w:rPr>
          <w:rFonts w:ascii="Centaur" w:hAnsi="Centaur"/>
          <w:bCs/>
          <w:sz w:val="28"/>
          <w:szCs w:val="28"/>
        </w:rPr>
        <w:t xml:space="preserve">RBV theory considers that “the company is a bond of various resources having a significant effect on the company's competitive advantage and performance. Companies that have unique resources that cannot be imitated by other companies will assist the company survival within the competition. RBV emphasizes the competitive advantage strategy and the company's internal resources”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{"citationItems":[{"id":"ITEM-1","itemData":{"author":[{"dropping-particle":"","family":"Barney","given":"Jay B.","non-dropping-particle":"","parse-names":false,"suffix":""}],"container-title":"Journal of Management","id":"ITEM-1","issue":"1","issued":{"date-parts":[["1991"]]},"page":"99- 120.","title":"Firm Resources and Sustained Competitive Advantage","type":"article-journal","volume":"17"},"uris":["http://www.mendeley.com/documents/?uuid=bb95c8c8-93d4-411e-a6f4-19b4ab0a6d77"]}],"mendeley":{"formattedCitation":"(Barney 1991)","plainTextFormattedCitation":"(Barney 1991)","previouslyFormattedCitation":"(Barney 1991)"},"properties":{"noteIndex":0},"schema":"https://github.com/citation-style-language/schema/raw/master/csl-citation.json"}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(Barney 1991)</w:t>
      </w:r>
      <w:r w:rsidR="008E716B" w:rsidRPr="000E5369">
        <w:rPr>
          <w:rFonts w:ascii="Centaur" w:hAnsi="Centaur"/>
          <w:bCs/>
          <w:sz w:val="28"/>
          <w:szCs w:val="28"/>
        </w:rPr>
        <w:fldChar w:fldCharType="end"/>
      </w:r>
      <w:r w:rsidRPr="000E5369">
        <w:rPr>
          <w:rFonts w:ascii="Centaur" w:hAnsi="Centaur"/>
          <w:bCs/>
          <w:sz w:val="28"/>
          <w:szCs w:val="28"/>
        </w:rPr>
        <w:t>.</w:t>
      </w:r>
    </w:p>
    <w:p w:rsidR="00497FE6" w:rsidRPr="000E5369" w:rsidRDefault="00497FE6" w:rsidP="00497FE6">
      <w:pPr>
        <w:pStyle w:val="ListParagraph"/>
        <w:spacing w:before="0" w:line="240" w:lineRule="auto"/>
        <w:ind w:left="0" w:firstLine="900"/>
        <w:rPr>
          <w:rFonts w:ascii="Centaur" w:hAnsi="Centaur"/>
          <w:bCs/>
          <w:color w:val="FFFFFF" w:themeColor="background1"/>
          <w:sz w:val="28"/>
          <w:szCs w:val="28"/>
        </w:rPr>
      </w:pPr>
      <w:r w:rsidRPr="000E5369">
        <w:rPr>
          <w:rFonts w:ascii="Centaur" w:hAnsi="Centaur"/>
          <w:bCs/>
          <w:sz w:val="28"/>
          <w:szCs w:val="28"/>
        </w:rPr>
        <w:t xml:space="preserve">Grant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{"citationItems":[{"id":"ITEM-1","itemData":{"DOI":"10.2307/41166664","abstract":"Recent contributions to strategic management and the theory of the firm collectively known as the “resource-based view of the firm” provide illuminating insights into the sources of profitability and the nature of competitive strategy. This article argues that internal resources rather than the market environment should provide the foundation for a firm’s strategy. On the basis of an analysis of the relationships among resources, capabilities, conpetitive advantage, and profitability, this article advances a framework for a resource-based approach to strategy formulation. © 1991, The Regents of the University of California. All rights reserved.","author":[{"dropping-particle":"","family":"Grant","given":"Robert M.","non-dropping-particle":"","parse-names":false,"suffix":""}],"container-title":"http://dx.doi.org/10.2307/41166664","id":"ITEM-1","issue":"3","issued":{"date-parts":[["1991","4","1"]]},"page":"114-135","publisher":"SAGE PublicationsSage CA: Los Angeles, CA","title":"The Resource-Based Theory of Competitive Advantage: Implications for Strategy Formulation:","type":"article-journal","volume":"33"},"suppress-author":1,"uris":["http://www.mendeley.com/documents/?uuid=ee0a4093-bf7f-3361-b90e-12c16e53b41f"]}],"mendeley":{"formattedCitation":"(1991)","plainTextFormattedCitation":"(1991)","previouslyFormattedCitation":"(1991)"},"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(1991)</w:t>
      </w:r>
      <w:r w:rsidR="008E716B" w:rsidRPr="000E5369">
        <w:rPr>
          <w:rFonts w:ascii="Centaur" w:hAnsi="Centaur"/>
          <w:bCs/>
          <w:sz w:val="28"/>
          <w:szCs w:val="28"/>
        </w:rPr>
        <w:fldChar w:fldCharType="end"/>
      </w:r>
      <w:r w:rsidRPr="000E5369">
        <w:rPr>
          <w:rFonts w:ascii="Centaur" w:hAnsi="Centaur"/>
          <w:bCs/>
          <w:sz w:val="28"/>
          <w:szCs w:val="28"/>
        </w:rPr>
        <w:t xml:space="preserve"> “classifies resources into the six major groups, such as: financial resources, physical resources, human resources, technological resources, reputation, and organizational resources”.</w:t>
      </w:r>
      <w:r w:rsidRPr="000E5369">
        <w:rPr>
          <w:rFonts w:ascii="Centaur" w:hAnsi="Centaur"/>
          <w:color w:val="FFFFFF" w:themeColor="background1"/>
          <w:sz w:val="28"/>
          <w:szCs w:val="28"/>
        </w:rPr>
        <w:t xml:space="preserve"> l</w:t>
      </w:r>
      <w:r w:rsidRPr="000E5369">
        <w:rPr>
          <w:rFonts w:ascii="Centaur" w:hAnsi="Centaur"/>
          <w:bCs/>
          <w:sz w:val="28"/>
          <w:szCs w:val="28"/>
        </w:rPr>
        <w:t>Furthermore,</w:t>
      </w:r>
      <w:r w:rsidRPr="000E5369">
        <w:rPr>
          <w:rFonts w:ascii="Centaur" w:hAnsi="Centaur"/>
          <w:color w:val="FFFFFF" w:themeColor="background1"/>
          <w:sz w:val="28"/>
          <w:szCs w:val="28"/>
        </w:rPr>
        <w:t xml:space="preserve"> l</w:t>
      </w:r>
      <w:r w:rsidRPr="000E5369">
        <w:rPr>
          <w:rFonts w:ascii="Centaur" w:hAnsi="Centaur"/>
          <w:bCs/>
          <w:sz w:val="28"/>
          <w:szCs w:val="28"/>
        </w:rPr>
        <w:t xml:space="preserve">Grant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{"citationItems":[{"id":"ITEM-1","itemData":{"author":[{"dropping-particle":"","family":"Grant","given":"Robert M.","non-dropping-particle":"","parse-names":false,"suffix":""}],"editor":[{"dropping-particle":"","family":"Sihombing","given":"Tulus","non-dropping-particle":"","parse-names":false,"suffix":""},{"dropping-particle":"","family":"Sumiharti","given":"Yati","non-dropping-particle":"","parse-names":false,"suffix":""}],"id":"ITEM-1","issued":{"date-parts":[["1999"]]},"publisher":"Erlangga","publisher-place":"Jakarta","title":"Analisis strategi kontemporer : konsep, teknik, aplikasi = Contemporary strategy analysis : concept, techniques, Applications","translator":[{"dropping-particle":"","family":"Secokusumo","given":"Thomas","non-dropping-particle":"","parse-names":false,"suffix":""}],"type":"book"},"suppress-author":1,"uris":["http://www.mendeley.com/documents/?uuid=02e2bd3d-4cf9-3fd4-bb19-829325bd5f29"]}],"mendeley":{"formattedCitation":"(1999)","plainTextFormattedCitation":"(1999)","previouslyFormattedCitation":"(1999)"},"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(1999)</w:t>
      </w:r>
      <w:r w:rsidR="008E716B" w:rsidRPr="000E5369">
        <w:rPr>
          <w:rFonts w:ascii="Centaur" w:hAnsi="Centaur"/>
          <w:bCs/>
          <w:sz w:val="28"/>
          <w:szCs w:val="28"/>
        </w:rPr>
        <w:fldChar w:fldCharType="end"/>
      </w:r>
      <w:r w:rsidRPr="000E5369">
        <w:rPr>
          <w:rFonts w:ascii="Centaur" w:hAnsi="Centaur"/>
          <w:bCs/>
          <w:sz w:val="28"/>
          <w:szCs w:val="28"/>
        </w:rPr>
        <w:t xml:space="preserve"> states</w:t>
      </w:r>
      <w:r w:rsidRPr="000E5369">
        <w:rPr>
          <w:rFonts w:ascii="Centaur" w:hAnsi="Centaur"/>
          <w:color w:val="FFFFFF" w:themeColor="background1"/>
          <w:sz w:val="28"/>
          <w:szCs w:val="28"/>
        </w:rPr>
        <w:t>l</w:t>
      </w:r>
      <w:r w:rsidRPr="000E5369">
        <w:rPr>
          <w:rFonts w:ascii="Centaur" w:hAnsi="Centaur"/>
          <w:bCs/>
          <w:sz w:val="28"/>
          <w:szCs w:val="28"/>
        </w:rPr>
        <w:t>that “the five main dimensions of resource-based strategy include financial sources to identify the ability of businesses in calculating the funds and income, as well as the risk of internal loss determined based on the entire product manufacturing process”.“Physical resources sustain the results of business products’ efficiency and accuracy in determining the expected costs and revenues as an indication of selling prices to consumers. Meanwhile, human resources are functioned to achieve the production effectiveness, by giving employees responsibility for calculating the product costs and revenues during production. Technological resources are aimed at achieving the effectiveness of manufacturing process and product development to achieve better quality based on the capabilities. Lastly, the organization's reputation resources provide good customer relations for the acceptable product result and supplier confidence in sustainable purchases.</w:t>
      </w:r>
      <w:r w:rsidRPr="000E5369">
        <w:rPr>
          <w:rFonts w:ascii="Centaur" w:hAnsi="Centaur"/>
          <w:bCs/>
          <w:color w:val="FFFFFF" w:themeColor="background1"/>
          <w:sz w:val="28"/>
          <w:szCs w:val="28"/>
        </w:rPr>
        <w:t>”</w:t>
      </w:r>
    </w:p>
    <w:p w:rsidR="00497FE6" w:rsidRPr="000E5369" w:rsidRDefault="00497FE6" w:rsidP="00497FE6">
      <w:pPr>
        <w:pStyle w:val="ListParagraph"/>
        <w:spacing w:before="0" w:line="240" w:lineRule="auto"/>
        <w:ind w:left="0" w:firstLine="567"/>
        <w:rPr>
          <w:rFonts w:ascii="Centaur" w:hAnsi="Centaur"/>
          <w:bCs/>
          <w:color w:val="FF0000"/>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lastRenderedPageBreak/>
        <w:t>Relationship of Competence, Work Motivation to Entrepreneurship Orientation</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 xml:space="preserve">Zwell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{"citationItems":[{"id":"ITEM-1","itemData":{"ISBN":"978-0471350743","abstract":"What Makes an Organization Successful? The Role of Culture and Competence -- The Building Blocks of Culture: Behavioral Competencies -- Using Competencies to Analyze and Change Your Culture -- The Role of Leadership -- The Changing Role of Human Resources in Building a High-Performance Organization -- Using Vision and Corporate Philosophy to Create a Culture of Competence -- Using Vision for Individual Competency Development -- How to Use Competencies to Transform Your Culture -- Developing Competency Models -- Using Competency-Based Selection in the Ideal Hiring Process -- Using Competencies to Hire and Retain a High-Performance Workforce -- Developing Your Employees: Competency-Based Performance Development -- Using Technology to Change Corporate Culture.","author":[{"dropping-particle":"","family":"Zwell","given":"Michael.","non-dropping-particle":"","parse-names":false,"suffix":""}],"id":"ITEM-1","issued":{"date-parts":[["2000"]]},"number-of-pages":"344","publisher":"John Wiley &amp; Sons, Inc.","publisher-place":"New York","title":"Creating a culture of competence","type":"book"},"suppress-author":1,"uris":["http://www.mendeley.com/documents/?uuid=74486fb6-1eef-3323-a123-c6486e37dc31"]}],"mendeley":{"formattedCitation":"(2000)","plainTextFormattedCitation":"(2000)","previouslyFormattedCitation":"(2000)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(2000)</w:t>
      </w:r>
      <w:r w:rsidR="008E716B" w:rsidRPr="000E5369">
        <w:rPr>
          <w:rFonts w:ascii="Centaur" w:hAnsi="Centaur"/>
          <w:bCs/>
          <w:sz w:val="28"/>
          <w:szCs w:val="28"/>
        </w:rPr>
        <w:fldChar w:fldCharType="end"/>
      </w:r>
      <w:r w:rsidRPr="000E5369">
        <w:rPr>
          <w:rFonts w:ascii="Centaur" w:hAnsi="Centaur"/>
          <w:bCs/>
          <w:sz w:val="28"/>
          <w:szCs w:val="28"/>
        </w:rPr>
        <w:t xml:space="preserve"> stated that the competency model was differentiated based on position, level and work function; while level and work function are further differentiated based on superior or not superior nature, as well as between partners and superiors. Competence according to level and work function is employed to distinguish both superior and non-superior nature which includes competence regarding the ability to influence, to develop other people who are motivated, to work together, to build focus and to endeavor concern for quality, result orientation, according to the needs in the related field. The mindset of an entrepreneur unavoidably includes the problem of consumption; thus, an entrepreneur is encouraged to be productive and not consumptive</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An entrepreneur according to Kasali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{"citationItems":[{"id":"ITEM-1","itemData":{"author":[{"dropping-particle":"","family":"Kasali","given":"Rhenald","non-dropping-particle":"","parse-names":false,"suffix":""}],"edition":"-","id":"ITEM-1","issued":{"date-parts":[["2010"]]},"publisher":"Hikmah (PT Mizan Publika)","publisher-place":"Bandung","title":"Modul Kewirausahaan","type":"book"},"suppress-author":1,"uris":["http://www.mendeley.com/documents/?uuid=f0019fa9-84f1-3db8-901f-8628c4c7cacb"]}],"mendeley":{"formattedCitation":"(2010)","plainTextFormattedCitation":"(2010)","previouslyFormattedCitation":"(2010)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(2010)</w:t>
      </w:r>
      <w:r w:rsidR="008E716B" w:rsidRPr="000E5369">
        <w:rPr>
          <w:rFonts w:ascii="Centaur" w:hAnsi="Centaur"/>
          <w:bCs/>
          <w:sz w:val="28"/>
          <w:szCs w:val="28"/>
        </w:rPr>
        <w:fldChar w:fldCharType="end"/>
      </w:r>
      <w:r w:rsidRPr="000E5369">
        <w:rPr>
          <w:rFonts w:ascii="Centaur" w:hAnsi="Centaur"/>
          <w:bCs/>
          <w:sz w:val="28"/>
          <w:szCs w:val="28"/>
        </w:rPr>
        <w:t xml:space="preserve"> is constantly challenged with risks, uncertainties, and limitations in each arising problem. When action does not speak louder, it is not impossible that such attitude will lead to a disaster or loss amidst the constantly changing opportunity. The orientation of an entrepreneur is often acknowledged as to plan, do, check, and act. This orientation means that an entrepreneur not only makes plans with various strategies and tactics, but also implements them until obtaining the supervised and controlled results.</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 xml:space="preserve">Furthermore, Kasali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{"citationItems":[{"id":"ITEM-1","itemData":{"author":[{"dropping-particle":"","family":"Kasali","given":"Rhenald","non-dropping-particle":"","parse-names":false,"suffix":""}],"edition":"-","id":"ITEM-1","issued":{"date-parts":[["2010"]]},"publisher":"Hikmah (PT Mizan Publika)","publisher-place":"Bandung","title":"Modul Kewirausahaan","type":"book"},"suppress-author":1,"uris":["http://www.mendeley.com/documents/?uuid=f0019fa9-84f1-3db8-901f-8628c4c7cacb"]}],"mendeley":{"formattedCitation":"(2010)","plainTextFormattedCitation":"(2010)","previouslyFormattedCitation":"(2010)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(2010)</w:t>
      </w:r>
      <w:r w:rsidR="008E716B" w:rsidRPr="000E5369">
        <w:rPr>
          <w:rFonts w:ascii="Centaur" w:hAnsi="Centaur"/>
          <w:bCs/>
          <w:sz w:val="28"/>
          <w:szCs w:val="28"/>
        </w:rPr>
        <w:fldChar w:fldCharType="end"/>
      </w:r>
      <w:r w:rsidRPr="000E5369">
        <w:rPr>
          <w:rFonts w:ascii="Centaur" w:hAnsi="Centaur"/>
          <w:bCs/>
          <w:sz w:val="28"/>
          <w:szCs w:val="28"/>
        </w:rPr>
        <w:t xml:space="preserve"> pointed out that the strong motivation of an entrepreneur has been inadequate to solely rely on creative ideas in making products as innovations without an accurate strategy and proper execution. This notion means that an entrepreneur cannot work alone instead, requiring supporting ideas initiated from the emergence of ideas to convey the commercialization stage. In addition, success is determined by numerous things, one of which is through understanding the character andthe actual position, thus it is not impossible that success is only a matter of time for entrepreneurs who really love their work. Most successful entrepreneurs state that the product, no matter how simple it is, “it must be familiar with”, engaging with a personal touch of affection. Hence, prior to find a real product or business idea, knowing oneself and strengthening one entrepreneurial orientation are deemed essential either in motivating ourselves or employees or subordinates</w:t>
      </w:r>
      <w:r w:rsidRPr="000E5369">
        <w:rPr>
          <w:rFonts w:ascii="Centaur" w:hAnsi="Centaur"/>
          <w:bCs/>
          <w:color w:val="FF0000"/>
          <w:sz w:val="28"/>
          <w:szCs w:val="28"/>
        </w:rPr>
        <w:t>.</w:t>
      </w:r>
    </w:p>
    <w:p w:rsidR="00497FE6" w:rsidRPr="000E5369" w:rsidRDefault="00497FE6" w:rsidP="00497FE6">
      <w:pPr>
        <w:spacing w:before="0" w:line="240" w:lineRule="auto"/>
        <w:ind w:firstLine="567"/>
        <w:jc w:val="both"/>
        <w:rPr>
          <w:rFonts w:ascii="Centaur" w:hAnsi="Centaur"/>
          <w:bCs/>
          <w:color w:val="FF0000"/>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Relationship of Competence, Work Motivation to Business Performance</w:t>
      </w:r>
    </w:p>
    <w:p w:rsidR="00497FE6" w:rsidRPr="000E5369" w:rsidRDefault="00497FE6" w:rsidP="00497FE6">
      <w:pPr>
        <w:spacing w:before="0" w:line="240" w:lineRule="auto"/>
        <w:ind w:left="0" w:firstLine="900"/>
        <w:jc w:val="both"/>
        <w:rPr>
          <w:rFonts w:ascii="Centaur" w:hAnsi="Centaur"/>
          <w:b/>
          <w:bCs/>
          <w:color w:val="FF0000"/>
          <w:sz w:val="28"/>
          <w:szCs w:val="28"/>
        </w:rPr>
      </w:pPr>
      <w:r w:rsidRPr="000E5369">
        <w:rPr>
          <w:rFonts w:ascii="Centaur" w:hAnsi="Centaur"/>
          <w:bCs/>
          <w:sz w:val="28"/>
          <w:szCs w:val="28"/>
        </w:rPr>
        <w:t>Competence relates to the ability to master skills/expertise in a particular field, accommodating a person to work appropriately, quickly, regularly, and responsibly. According</w:t>
      </w:r>
      <w:r w:rsidRPr="000E5369">
        <w:rPr>
          <w:rFonts w:ascii="Centaur" w:hAnsi="Centaur"/>
          <w:color w:val="FFFFFF" w:themeColor="background1"/>
          <w:sz w:val="28"/>
          <w:szCs w:val="28"/>
        </w:rPr>
        <w:t>l</w:t>
      </w:r>
      <w:r w:rsidRPr="000E5369">
        <w:rPr>
          <w:rFonts w:ascii="Centaur" w:hAnsi="Centaur"/>
          <w:bCs/>
          <w:sz w:val="28"/>
          <w:szCs w:val="28"/>
        </w:rPr>
        <w:t>to Robbins</w:t>
      </w:r>
      <w:r w:rsidRPr="000E5369">
        <w:rPr>
          <w:rFonts w:ascii="Centaur" w:hAnsi="Centaur"/>
          <w:color w:val="FFFFFF" w:themeColor="background1"/>
          <w:sz w:val="28"/>
          <w:szCs w:val="28"/>
        </w:rPr>
        <w:t>l</w:t>
      </w:r>
      <w:r w:rsidRPr="000E5369">
        <w:rPr>
          <w:rFonts w:ascii="Centaur" w:hAnsi="Centaur"/>
          <w:bCs/>
          <w:sz w:val="28"/>
          <w:szCs w:val="28"/>
        </w:rPr>
        <w:t>&amp;</w:t>
      </w:r>
      <w:r w:rsidRPr="000E5369">
        <w:rPr>
          <w:rFonts w:ascii="Centaur" w:hAnsi="Centaur"/>
          <w:color w:val="FFFFFF" w:themeColor="background1"/>
          <w:sz w:val="28"/>
          <w:szCs w:val="28"/>
        </w:rPr>
        <w:t>l</w:t>
      </w:r>
      <w:r w:rsidRPr="000E5369">
        <w:rPr>
          <w:rFonts w:ascii="Centaur" w:hAnsi="Centaur"/>
          <w:bCs/>
          <w:sz w:val="28"/>
          <w:szCs w:val="28"/>
        </w:rPr>
        <w:t xml:space="preserve">Judge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{"citationItems":[{"id":"ITEM-1","itemData":{"author":[{"dropping-particle":"","family":"Robbins","given":"Stephen P.","non-dropping-particle":"","parse-names":false,"suffix":""},{"dropping-particle":"","family":"Judge","given":"Timothy A.","non-dropping-particle":"","parse-names":false,"suffix":""}],"id":"ITEM-1","issued":{"date-parts":[["2008"]]},"publisher":"Salemba Empat","publisher-place":"Jakarta","title":"Perilaku Organisasi (Organizational Behavior)","type":"book"},"suppress-author":1,"uris":["http://www.mendeley.com/documents/?uuid=aeb44c42-6920-3ffe-8af3-60d9a63e4676"]}],"mendeley":{"formattedCitation":"(2008)","plainTextFormattedCitation":"(2008)","previouslyFormattedCitation":"(2008)"},"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(2008)</w:t>
      </w:r>
      <w:r w:rsidR="008E716B" w:rsidRPr="000E5369">
        <w:rPr>
          <w:rFonts w:ascii="Centaur" w:hAnsi="Centaur"/>
          <w:bCs/>
          <w:sz w:val="28"/>
          <w:szCs w:val="28"/>
        </w:rPr>
        <w:fldChar w:fldCharType="end"/>
      </w:r>
      <w:r w:rsidRPr="000E5369">
        <w:rPr>
          <w:rFonts w:ascii="Centaur" w:hAnsi="Centaur"/>
          <w:bCs/>
          <w:sz w:val="28"/>
          <w:szCs w:val="28"/>
        </w:rPr>
        <w:t xml:space="preserve">, “ability refers to an individual's capacity to perform various tasks in a tasked job”. Basically, </w:t>
      </w:r>
      <w:r w:rsidRPr="000E5369">
        <w:rPr>
          <w:rFonts w:ascii="Centaur" w:hAnsi="Centaur"/>
          <w:bCs/>
          <w:sz w:val="28"/>
          <w:szCs w:val="28"/>
        </w:rPr>
        <w:lastRenderedPageBreak/>
        <w:t>abilities</w:t>
      </w:r>
      <w:r w:rsidRPr="000E5369">
        <w:rPr>
          <w:rFonts w:ascii="Centaur" w:hAnsi="Centaur"/>
          <w:color w:val="FFFFFF" w:themeColor="background1"/>
          <w:sz w:val="28"/>
          <w:szCs w:val="28"/>
        </w:rPr>
        <w:t>l</w:t>
      </w:r>
      <w:r w:rsidRPr="000E5369">
        <w:rPr>
          <w:rFonts w:ascii="Centaur" w:hAnsi="Centaur"/>
          <w:bCs/>
          <w:sz w:val="28"/>
          <w:szCs w:val="28"/>
        </w:rPr>
        <w:t xml:space="preserve">are divided into 2 major groups, including intellectualabilities and physicalabilities. According to Mangkunegara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{"citationItems":[{"id":"ITEM-1","itemData":{"author":[{"dropping-particle":"","family":"Mangkunegara","given":"Anwar Prabu","non-dropping-particle":"","parse-names":false,"suffix":""}],"id":"ITEM-1","issued":{"date-parts":[["2008"]]},"publisher":"PT REMAJA ROSDAKARYA","publisher-place":"Bandung","title":"Manajemen Sumber Daya Manusia Perusahaan","type":"book"},"suppress-author":1,"uris":["http://www.mendeley.com/documents/?uuid=b3d09686-418d-3b7a-8bdc-41033d01a8ae"]}],"mendeley":{"formattedCitation":"(2008)","plainTextFormattedCitation":"(2008)","previouslyFormattedCitation":"(2008)"},"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(2008)</w:t>
      </w:r>
      <w:r w:rsidR="008E716B" w:rsidRPr="000E5369">
        <w:rPr>
          <w:rFonts w:ascii="Centaur" w:hAnsi="Centaur"/>
          <w:bCs/>
          <w:sz w:val="28"/>
          <w:szCs w:val="28"/>
        </w:rPr>
        <w:fldChar w:fldCharType="end"/>
      </w:r>
      <w:r w:rsidRPr="000E5369">
        <w:rPr>
          <w:rFonts w:ascii="Centaur" w:hAnsi="Centaur"/>
          <w:bCs/>
          <w:sz w:val="28"/>
          <w:szCs w:val="28"/>
        </w:rPr>
        <w:t xml:space="preserve">, psychologically, </w:t>
      </w:r>
      <w:r w:rsidRPr="000E5369">
        <w:rPr>
          <w:rFonts w:ascii="Centaur" w:hAnsi="Centaur"/>
          <w:bCs/>
          <w:color w:val="FFFFFF" w:themeColor="background1"/>
          <w:sz w:val="28"/>
          <w:szCs w:val="28"/>
        </w:rPr>
        <w:t>“</w:t>
      </w:r>
      <w:r w:rsidRPr="000E5369">
        <w:rPr>
          <w:rFonts w:ascii="Centaur" w:hAnsi="Centaur"/>
          <w:bCs/>
          <w:sz w:val="28"/>
          <w:szCs w:val="28"/>
        </w:rPr>
        <w:t>ability consists of potential ability (IQ) and reality ability (knowledge + skill), in which the business actors who have an average IQ (IQ 110 - 120) with adequate education and are skillful in accomplishing their work, it willbe easierfor them to</w:t>
      </w:r>
      <w:r w:rsidRPr="000E5369">
        <w:rPr>
          <w:rFonts w:ascii="Centaur" w:hAnsi="Centaur"/>
          <w:color w:val="FFFFFF" w:themeColor="background1"/>
          <w:sz w:val="28"/>
          <w:szCs w:val="28"/>
        </w:rPr>
        <w:t>l</w:t>
      </w:r>
      <w:r w:rsidRPr="000E5369">
        <w:rPr>
          <w:rFonts w:ascii="Centaur" w:hAnsi="Centaur"/>
          <w:bCs/>
          <w:sz w:val="28"/>
          <w:szCs w:val="28"/>
        </w:rPr>
        <w:t>achieve</w:t>
      </w:r>
      <w:r w:rsidRPr="000E5369">
        <w:rPr>
          <w:rFonts w:ascii="Centaur" w:hAnsi="Centaur"/>
          <w:color w:val="FFFFFF" w:themeColor="background1"/>
          <w:sz w:val="28"/>
          <w:szCs w:val="28"/>
        </w:rPr>
        <w:t>l</w:t>
      </w:r>
      <w:r w:rsidRPr="000E5369">
        <w:rPr>
          <w:rFonts w:ascii="Centaur" w:hAnsi="Centaur"/>
          <w:bCs/>
          <w:sz w:val="28"/>
          <w:szCs w:val="28"/>
        </w:rPr>
        <w:t>the</w:t>
      </w:r>
      <w:r w:rsidRPr="000E5369">
        <w:rPr>
          <w:rFonts w:ascii="Centaur" w:hAnsi="Centaur"/>
          <w:color w:val="FFFFFF" w:themeColor="background1"/>
          <w:sz w:val="28"/>
          <w:szCs w:val="28"/>
        </w:rPr>
        <w:t>l</w:t>
      </w:r>
      <w:r w:rsidRPr="000E5369">
        <w:rPr>
          <w:rFonts w:ascii="Centaur" w:hAnsi="Centaur"/>
          <w:bCs/>
          <w:sz w:val="28"/>
          <w:szCs w:val="28"/>
        </w:rPr>
        <w:t>expected</w:t>
      </w:r>
      <w:r w:rsidRPr="000E5369">
        <w:rPr>
          <w:rFonts w:ascii="Centaur" w:hAnsi="Centaur"/>
          <w:color w:val="FFFFFF" w:themeColor="background1"/>
          <w:sz w:val="28"/>
          <w:szCs w:val="28"/>
        </w:rPr>
        <w:t>l</w:t>
      </w:r>
      <w:r w:rsidRPr="000E5369">
        <w:rPr>
          <w:rFonts w:ascii="Centaur" w:hAnsi="Centaur"/>
          <w:bCs/>
          <w:sz w:val="28"/>
          <w:szCs w:val="28"/>
        </w:rPr>
        <w:t>performance</w:t>
      </w:r>
      <w:r w:rsidRPr="000E5369">
        <w:rPr>
          <w:rFonts w:ascii="Centaur" w:hAnsi="Centaur"/>
          <w:bCs/>
          <w:color w:val="FF0000"/>
          <w:sz w:val="28"/>
          <w:szCs w:val="28"/>
        </w:rPr>
        <w:t>.</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color w:val="FFFFFF" w:themeColor="background1"/>
          <w:sz w:val="28"/>
          <w:szCs w:val="28"/>
        </w:rPr>
        <w:t>“</w:t>
      </w:r>
      <w:r w:rsidRPr="000E5369">
        <w:rPr>
          <w:rFonts w:ascii="Centaur" w:hAnsi="Centaur"/>
          <w:bCs/>
          <w:sz w:val="28"/>
          <w:szCs w:val="28"/>
        </w:rPr>
        <w:t>A person's motivation starts from the needs, desires, and urges to act to achieve the needs or goals, indicating the strong drive, effort, intensity, and willingness to sacrifice for the achievement of goals. In this case, stronger drive or motivation and enthusiasm lead to higher performance.</w:t>
      </w:r>
      <w:r w:rsidRPr="000E5369">
        <w:rPr>
          <w:rFonts w:ascii="Centaur" w:hAnsi="Centaur"/>
          <w:bCs/>
          <w:color w:val="FFFFFF" w:themeColor="background1"/>
          <w:sz w:val="28"/>
          <w:szCs w:val="28"/>
        </w:rPr>
        <w:t>”</w:t>
      </w:r>
      <w:r w:rsidRPr="000E5369">
        <w:rPr>
          <w:rFonts w:ascii="Centaur" w:hAnsi="Centaur"/>
          <w:bCs/>
          <w:sz w:val="28"/>
          <w:szCs w:val="28"/>
        </w:rPr>
        <w:t xml:space="preserve"> This</w:t>
      </w:r>
      <w:r w:rsidRPr="000E5369">
        <w:rPr>
          <w:rFonts w:ascii="Centaur" w:hAnsi="Centaur"/>
          <w:color w:val="FFFFFF" w:themeColor="background1"/>
          <w:sz w:val="28"/>
          <w:szCs w:val="28"/>
        </w:rPr>
        <w:t>l</w:t>
      </w:r>
      <w:r w:rsidRPr="000E5369">
        <w:rPr>
          <w:rFonts w:ascii="Centaur" w:hAnsi="Centaur"/>
          <w:bCs/>
          <w:sz w:val="28"/>
          <w:szCs w:val="28"/>
        </w:rPr>
        <w:t>perspective is</w:t>
      </w:r>
      <w:r w:rsidRPr="000E5369">
        <w:rPr>
          <w:rFonts w:ascii="Centaur" w:hAnsi="Centaur"/>
          <w:color w:val="FFFFFF" w:themeColor="background1"/>
          <w:sz w:val="28"/>
          <w:szCs w:val="28"/>
        </w:rPr>
        <w:t>l</w:t>
      </w:r>
      <w:r w:rsidRPr="000E5369">
        <w:rPr>
          <w:rFonts w:ascii="Centaur" w:hAnsi="Centaur"/>
          <w:bCs/>
          <w:sz w:val="28"/>
          <w:szCs w:val="28"/>
        </w:rPr>
        <w:t>in</w:t>
      </w:r>
      <w:r w:rsidRPr="000E5369">
        <w:rPr>
          <w:rFonts w:ascii="Centaur" w:hAnsi="Centaur"/>
          <w:color w:val="FFFFFF" w:themeColor="background1"/>
          <w:sz w:val="28"/>
          <w:szCs w:val="28"/>
        </w:rPr>
        <w:t>l</w:t>
      </w:r>
      <w:r w:rsidRPr="000E5369">
        <w:rPr>
          <w:rFonts w:ascii="Centaur" w:hAnsi="Centaur"/>
          <w:bCs/>
          <w:sz w:val="28"/>
          <w:szCs w:val="28"/>
        </w:rPr>
        <w:t>accordance</w:t>
      </w:r>
      <w:r w:rsidRPr="000E5369">
        <w:rPr>
          <w:rFonts w:ascii="Centaur" w:hAnsi="Centaur"/>
          <w:color w:val="FFFFFF" w:themeColor="background1"/>
          <w:sz w:val="28"/>
          <w:szCs w:val="28"/>
        </w:rPr>
        <w:t>l</w:t>
      </w:r>
      <w:r w:rsidRPr="000E5369">
        <w:rPr>
          <w:rFonts w:ascii="Centaur" w:hAnsi="Centaur"/>
          <w:bCs/>
          <w:sz w:val="28"/>
          <w:szCs w:val="28"/>
        </w:rPr>
        <w:t>with</w:t>
      </w:r>
      <w:r w:rsidRPr="000E5369">
        <w:rPr>
          <w:rFonts w:ascii="Centaur" w:hAnsi="Centaur"/>
          <w:color w:val="FFFFFF" w:themeColor="background1"/>
          <w:sz w:val="28"/>
          <w:szCs w:val="28"/>
        </w:rPr>
        <w:t>l</w:t>
      </w:r>
      <w:r w:rsidRPr="000E5369">
        <w:rPr>
          <w:rFonts w:ascii="Centaur" w:hAnsi="Centaur"/>
          <w:bCs/>
          <w:sz w:val="28"/>
          <w:szCs w:val="28"/>
        </w:rPr>
        <w:t>the</w:t>
      </w:r>
      <w:r w:rsidRPr="000E5369">
        <w:rPr>
          <w:rFonts w:ascii="Centaur" w:hAnsi="Centaur"/>
          <w:color w:val="FFFFFF" w:themeColor="background1"/>
          <w:sz w:val="28"/>
          <w:szCs w:val="28"/>
        </w:rPr>
        <w:t>l</w:t>
      </w:r>
      <w:r w:rsidRPr="000E5369">
        <w:rPr>
          <w:rFonts w:ascii="Centaur" w:hAnsi="Centaur"/>
          <w:bCs/>
          <w:sz w:val="28"/>
          <w:szCs w:val="28"/>
        </w:rPr>
        <w:t xml:space="preserve">opinion of Mathis and Jackson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{"citationItems":[{"id":"ITEM-1","itemData":{"author":[{"dropping-particle":"","family":"Mathis","given":"Robert L.","non-dropping-particle":"","parse-names":false,"suffix":""},{"dropping-particle":"","family":"Jackson","given":"John H.","non-dropping-particle":"","parse-names":false,"suffix":""}],"id":"ITEM-1","issued":{"date-parts":[["2007"]]},"publisher":"Salemba Empat","publisher-place":"Jakarta","title":"Human Resource Management","type":"book"},"suppress-author":1,"uris":["http://www.mendeley.com/documents/?uuid=7e6a18ae-f3ac-35e4-bc49-beeab45b35fb"]}],"mendeley":{"formattedCitation":"(2007)","plainTextFormattedCitation":"(2007)","previouslyFormattedCitation":"(2007)"},"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(2007)</w:t>
      </w:r>
      <w:r w:rsidR="008E716B" w:rsidRPr="000E5369">
        <w:rPr>
          <w:rFonts w:ascii="Centaur" w:hAnsi="Centaur"/>
          <w:bCs/>
          <w:sz w:val="28"/>
          <w:szCs w:val="28"/>
        </w:rPr>
        <w:fldChar w:fldCharType="end"/>
      </w:r>
      <w:r w:rsidRPr="000E5369">
        <w:rPr>
          <w:rFonts w:ascii="Centaur" w:hAnsi="Centaur"/>
          <w:bCs/>
          <w:sz w:val="28"/>
          <w:szCs w:val="28"/>
        </w:rPr>
        <w:t xml:space="preserve"> asserting that motivation becomes a desire in a person directing a person to act. Motivation thus serves as a drive driven by goals and rarely appears in emptiness.</w:t>
      </w:r>
    </w:p>
    <w:p w:rsidR="00497FE6" w:rsidRPr="000E5369" w:rsidRDefault="00497FE6" w:rsidP="00497FE6">
      <w:pPr>
        <w:spacing w:before="0" w:line="240" w:lineRule="auto"/>
        <w:ind w:left="0" w:firstLine="900"/>
        <w:jc w:val="both"/>
        <w:rPr>
          <w:rFonts w:ascii="Centaur" w:hAnsi="Centaur"/>
          <w:bCs/>
          <w:color w:val="FF0000"/>
          <w:sz w:val="28"/>
          <w:szCs w:val="28"/>
        </w:rPr>
      </w:pPr>
      <w:r w:rsidRPr="000E5369">
        <w:rPr>
          <w:rFonts w:ascii="Centaur" w:hAnsi="Centaur"/>
          <w:bCs/>
          <w:sz w:val="28"/>
          <w:szCs w:val="28"/>
        </w:rPr>
        <w:t>Overall, greater motivation would generate stronger efforts to achieve the goals, involving further attempt to take advantage of the various abilities. As a result, if a business actor has high ability with high motivation, he would utilize all his abilities to actualize his ambitions</w:t>
      </w:r>
      <w:r w:rsidRPr="000E5369">
        <w:rPr>
          <w:rFonts w:ascii="Centaur" w:hAnsi="Centaur"/>
          <w:bCs/>
          <w:color w:val="FF0000"/>
          <w:sz w:val="28"/>
          <w:szCs w:val="28"/>
        </w:rPr>
        <w:t>.</w:t>
      </w:r>
    </w:p>
    <w:p w:rsidR="00497FE6" w:rsidRPr="000E5369" w:rsidRDefault="00497FE6" w:rsidP="00497FE6">
      <w:pPr>
        <w:spacing w:before="0" w:line="240" w:lineRule="auto"/>
        <w:ind w:firstLine="567"/>
        <w:jc w:val="both"/>
        <w:rPr>
          <w:rFonts w:ascii="Centaur" w:hAnsi="Centaur"/>
          <w:bCs/>
          <w:color w:val="FF0000"/>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Relationship of Entrepreneurial Orientation to Business Performance</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 xml:space="preserve">Porter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{"citationItems":[{"id":"ITEM-1","itemData":{"ISBN":"9780060741532","abstract":"Global perspective on migrants from Indian Ocean Rim","author":[{"dropping-particle":"","family":"Porter","given":"Michael E.","non-dropping-particle":"","parse-names":false,"suffix":""}],"id":"ITEM-1","issued":{"date-parts":[["1990"]]},"number-of-pages":"422","publisher":"The Free Press","publisher-place":"New York","title":"Competitive Strategy","type":"book"},"suppress-author":1,"uris":["http://www.mendeley.com/documents/?uuid=b33108ab-6ef4-4686-b69c-20c5e04220b5"]}],"mendeley":{"formattedCitation":"(1990)","plainTextFormattedCitation":"(1990)","previouslyFormattedCitation":"(1990)"},"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(1990)</w:t>
      </w:r>
      <w:r w:rsidR="008E716B" w:rsidRPr="000E5369">
        <w:rPr>
          <w:rFonts w:ascii="Centaur" w:hAnsi="Centaur"/>
          <w:bCs/>
          <w:sz w:val="28"/>
          <w:szCs w:val="28"/>
        </w:rPr>
        <w:fldChar w:fldCharType="end"/>
      </w:r>
      <w:r w:rsidRPr="000E5369">
        <w:rPr>
          <w:rFonts w:ascii="Centaur" w:hAnsi="Centaur"/>
          <w:bCs/>
          <w:sz w:val="28"/>
          <w:szCs w:val="28"/>
        </w:rPr>
        <w:t xml:space="preserve"> “defines entrepreneurial orientation as a company's benefit strategy to compete more effectively within similar marketplace. The entrepreneurial orientation, reflected in an attitude full of innovation, proactiveness and courage to take risks, is believed to boost the company's performance”. Wiklund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{"citationItems":[{"id":"ITEM-1","itemData":{"DOI":"10.1177/104225879902400103","abstract":"Entrepreneurial orientation (EO) has become an important and extensively researched topic in the literature. Empirical results suggest that EO may influence firm performance. However, it is importa...","author":[{"dropping-particle":"","family":"Wiklund","given":"Johan","non-dropping-particle":"","parse-names":false,"suffix":""}],"container-title":"Entrepreneurship Theory and Practice","id":"ITEM-1","issue":"1","issued":{"date-parts":[["1999","12","4"]]},"page":"37-48","publisher":"SAGE PublicationsSage CA: Los Angeles, CA","title":"The Sustainability of the Entrepreneurial Orientation—Performance Relationship:","type":"article-journal","volume":"24"},"suppress-author":1,"uris":["http://www.mendeley.com/documents/?uuid=754a48c4-3440-3915-8ce2-3c8af1250dfe"]}],"mendeley":{"formattedCitation":"(1999)","plainTextFormattedCitation":"(1999)","previouslyFormattedCitation":"(1999)"},"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(1999)</w:t>
      </w:r>
      <w:r w:rsidR="008E716B" w:rsidRPr="000E5369">
        <w:rPr>
          <w:rFonts w:ascii="Centaur" w:hAnsi="Centaur"/>
          <w:bCs/>
          <w:sz w:val="28"/>
          <w:szCs w:val="28"/>
        </w:rPr>
        <w:fldChar w:fldCharType="end"/>
      </w:r>
      <w:r w:rsidRPr="000E5369">
        <w:rPr>
          <w:rFonts w:ascii="Centaur" w:hAnsi="Centaur"/>
          <w:bCs/>
          <w:sz w:val="28"/>
          <w:szCs w:val="28"/>
        </w:rPr>
        <w:t>, previously stated that higher entrepreneurial orientation might lead to the increasing company's</w:t>
      </w:r>
      <w:r w:rsidRPr="000E5369">
        <w:rPr>
          <w:rFonts w:ascii="Centaur" w:hAnsi="Centaur"/>
          <w:color w:val="FFFFFF" w:themeColor="background1"/>
          <w:sz w:val="28"/>
          <w:szCs w:val="28"/>
        </w:rPr>
        <w:t>l</w:t>
      </w:r>
      <w:r w:rsidRPr="000E5369">
        <w:rPr>
          <w:rFonts w:ascii="Centaur" w:hAnsi="Centaur"/>
          <w:bCs/>
          <w:sz w:val="28"/>
          <w:szCs w:val="28"/>
        </w:rPr>
        <w:t>ability</w:t>
      </w:r>
      <w:r w:rsidRPr="000E5369">
        <w:rPr>
          <w:rFonts w:ascii="Centaur" w:hAnsi="Centaur"/>
          <w:color w:val="FFFFFF" w:themeColor="background1"/>
          <w:sz w:val="28"/>
          <w:szCs w:val="28"/>
        </w:rPr>
        <w:t>l</w:t>
      </w:r>
      <w:r w:rsidRPr="000E5369">
        <w:rPr>
          <w:rFonts w:ascii="Centaur" w:hAnsi="Centaur"/>
          <w:bCs/>
          <w:sz w:val="28"/>
          <w:szCs w:val="28"/>
        </w:rPr>
        <w:t>to</w:t>
      </w:r>
      <w:r w:rsidRPr="000E5369">
        <w:rPr>
          <w:rFonts w:ascii="Centaur" w:hAnsi="Centaur"/>
          <w:color w:val="FFFFFF" w:themeColor="background1"/>
          <w:sz w:val="28"/>
          <w:szCs w:val="28"/>
        </w:rPr>
        <w:t>l</w:t>
      </w:r>
      <w:r w:rsidRPr="000E5369">
        <w:rPr>
          <w:rFonts w:ascii="Centaur" w:hAnsi="Centaur"/>
          <w:bCs/>
          <w:sz w:val="28"/>
          <w:szCs w:val="28"/>
        </w:rPr>
        <w:t>market</w:t>
      </w:r>
      <w:r w:rsidRPr="000E5369">
        <w:rPr>
          <w:rFonts w:ascii="Centaur" w:hAnsi="Centaur"/>
          <w:color w:val="FFFFFF" w:themeColor="background1"/>
          <w:sz w:val="28"/>
          <w:szCs w:val="28"/>
        </w:rPr>
        <w:t>l</w:t>
      </w:r>
      <w:r w:rsidRPr="000E5369">
        <w:rPr>
          <w:rFonts w:ascii="Centaur" w:hAnsi="Centaur"/>
          <w:bCs/>
          <w:sz w:val="28"/>
          <w:szCs w:val="28"/>
        </w:rPr>
        <w:t>its</w:t>
      </w:r>
      <w:r w:rsidRPr="000E5369">
        <w:rPr>
          <w:rFonts w:ascii="Centaur" w:hAnsi="Centaur"/>
          <w:color w:val="FFFFFF" w:themeColor="background1"/>
          <w:sz w:val="28"/>
          <w:szCs w:val="28"/>
        </w:rPr>
        <w:t>l</w:t>
      </w:r>
      <w:r w:rsidRPr="000E5369">
        <w:rPr>
          <w:rFonts w:ascii="Centaur" w:hAnsi="Centaur"/>
          <w:bCs/>
          <w:sz w:val="28"/>
          <w:szCs w:val="28"/>
        </w:rPr>
        <w:t>products</w:t>
      </w:r>
      <w:r w:rsidRPr="000E5369">
        <w:rPr>
          <w:rFonts w:ascii="Centaur" w:hAnsi="Centaur"/>
          <w:color w:val="FFFFFF" w:themeColor="background1"/>
          <w:sz w:val="28"/>
          <w:szCs w:val="28"/>
        </w:rPr>
        <w:t>l</w:t>
      </w:r>
      <w:r w:rsidRPr="000E5369">
        <w:rPr>
          <w:rFonts w:ascii="Centaur" w:hAnsi="Centaur"/>
          <w:bCs/>
          <w:sz w:val="28"/>
          <w:szCs w:val="28"/>
        </w:rPr>
        <w:t>towards</w:t>
      </w:r>
      <w:r w:rsidRPr="000E5369">
        <w:rPr>
          <w:rFonts w:ascii="Centaur" w:hAnsi="Centaur"/>
          <w:color w:val="FFFFFF" w:themeColor="background1"/>
          <w:sz w:val="28"/>
          <w:szCs w:val="28"/>
        </w:rPr>
        <w:t>l</w:t>
      </w:r>
      <w:r w:rsidRPr="000E5369">
        <w:rPr>
          <w:rFonts w:ascii="Centaur" w:hAnsi="Centaur"/>
          <w:bCs/>
          <w:sz w:val="28"/>
          <w:szCs w:val="28"/>
        </w:rPr>
        <w:t>better</w:t>
      </w:r>
      <w:r w:rsidRPr="000E5369">
        <w:rPr>
          <w:rFonts w:ascii="Centaur" w:hAnsi="Centaur"/>
          <w:color w:val="FFFFFF" w:themeColor="background1"/>
          <w:sz w:val="28"/>
          <w:szCs w:val="28"/>
        </w:rPr>
        <w:t>l</w:t>
      </w:r>
      <w:r w:rsidRPr="000E5369">
        <w:rPr>
          <w:rFonts w:ascii="Centaur" w:hAnsi="Centaur"/>
          <w:bCs/>
          <w:sz w:val="28"/>
          <w:szCs w:val="28"/>
        </w:rPr>
        <w:t>business</w:t>
      </w:r>
      <w:r w:rsidRPr="000E5369">
        <w:rPr>
          <w:rFonts w:ascii="Centaur" w:hAnsi="Centaur"/>
          <w:color w:val="FFFFFF" w:themeColor="background1"/>
          <w:sz w:val="28"/>
          <w:szCs w:val="28"/>
        </w:rPr>
        <w:t>l</w:t>
      </w:r>
      <w:r w:rsidRPr="000E5369">
        <w:rPr>
          <w:rFonts w:ascii="Centaur" w:hAnsi="Centaur"/>
          <w:bCs/>
          <w:sz w:val="28"/>
          <w:szCs w:val="28"/>
        </w:rPr>
        <w:t>performance. A high entrepreneurial</w:t>
      </w:r>
      <w:r w:rsidRPr="000E5369">
        <w:rPr>
          <w:rFonts w:ascii="Centaur" w:hAnsi="Centaur"/>
          <w:color w:val="FFFFFF" w:themeColor="background1"/>
          <w:sz w:val="28"/>
          <w:szCs w:val="28"/>
        </w:rPr>
        <w:t>l</w:t>
      </w:r>
      <w:r w:rsidRPr="000E5369">
        <w:rPr>
          <w:rFonts w:ascii="Centaur" w:hAnsi="Centaur"/>
          <w:bCs/>
          <w:sz w:val="28"/>
          <w:szCs w:val="28"/>
        </w:rPr>
        <w:t>orientation</w:t>
      </w:r>
      <w:r w:rsidRPr="000E5369">
        <w:rPr>
          <w:rFonts w:ascii="Centaur" w:hAnsi="Centaur"/>
          <w:color w:val="FFFFFF" w:themeColor="background1"/>
          <w:sz w:val="28"/>
          <w:szCs w:val="28"/>
        </w:rPr>
        <w:t>l</w:t>
      </w:r>
      <w:r w:rsidRPr="000E5369">
        <w:rPr>
          <w:rFonts w:ascii="Centaur" w:hAnsi="Centaur"/>
          <w:bCs/>
          <w:sz w:val="28"/>
          <w:szCs w:val="28"/>
        </w:rPr>
        <w:t>is closely related</w:t>
      </w:r>
      <w:r w:rsidRPr="000E5369">
        <w:rPr>
          <w:rFonts w:ascii="Centaur" w:hAnsi="Centaur"/>
          <w:color w:val="FFFFFF" w:themeColor="background1"/>
          <w:sz w:val="28"/>
          <w:szCs w:val="28"/>
        </w:rPr>
        <w:t>l</w:t>
      </w:r>
      <w:r w:rsidRPr="000E5369">
        <w:rPr>
          <w:rFonts w:ascii="Centaur" w:hAnsi="Centaur"/>
          <w:bCs/>
          <w:sz w:val="28"/>
          <w:szCs w:val="28"/>
        </w:rPr>
        <w:t>to</w:t>
      </w:r>
      <w:r w:rsidRPr="000E5369">
        <w:rPr>
          <w:rFonts w:ascii="Centaur" w:hAnsi="Centaur"/>
          <w:color w:val="FFFFFF" w:themeColor="background1"/>
          <w:sz w:val="28"/>
          <w:szCs w:val="28"/>
        </w:rPr>
        <w:t>l</w:t>
      </w:r>
      <w:r w:rsidRPr="000E5369">
        <w:rPr>
          <w:rFonts w:ascii="Centaur" w:hAnsi="Centaur"/>
          <w:bCs/>
          <w:sz w:val="28"/>
          <w:szCs w:val="28"/>
        </w:rPr>
        <w:t xml:space="preserve">the main driversof profit in which an entrepreneur could take advantage and response to opportunities, which in turn hasapositive effecton business performance. Covin &amp; Slevin </w:t>
      </w:r>
      <w:r w:rsidR="008E716B" w:rsidRPr="000E5369">
        <w:rPr>
          <w:rFonts w:ascii="Centaur" w:hAnsi="Centaur"/>
          <w:bCs/>
          <w:sz w:val="28"/>
          <w:szCs w:val="28"/>
        </w:rPr>
        <w:fldChar w:fldCharType="begin" w:fldLock="1"/>
      </w:r>
      <w:r w:rsidRPr="000E5369">
        <w:rPr>
          <w:rFonts w:ascii="Centaur" w:hAnsi="Centaur"/>
          <w:bCs/>
          <w:sz w:val="28"/>
          <w:szCs w:val="28"/>
        </w:rPr>
        <w:instrText>ADDIN CSL_CITATION {"citationItems":[{"id":"ITEM-1","itemData":{"DOI":"10.1177/104225879101600102","abstract":"This article outlines a conceptual model of entrepreneurship as an organizational-level phenomenon. The model is intended to depict the organizational system elements that relate to entrepreneurial...","author":[{"dropping-particle":"","family":"Covin","given":"Jeffrey G.","non-dropping-particle":"","parse-names":false,"suffix":""},{"dropping-particle":"","family":"Slevin","given":"Dennis P.","non-dropping-particle":"","parse-names":false,"suffix":""}],"container-title":"Entrepreneurship Theory and Practice","id":"ITEM-1","issue":"1","issued":{"date-parts":[["2017","12","5"]]},"page":"7-26","publisher":"SAGE PublicationsSage CA: Los Angeles, CA","title":"A Conceptual Model of Entrepreneurship as Firm Behavior:","type":"article-journal","volume":"16"},"suppress-author":1,"uris":["http://www.mendeley.com/documents/?uuid=7008635d-d676-3a63-b8c8-88be5d0e7384"]}],"mendeley":{"formattedCitation":"(2017)","plainTextFormattedCitation":"(2017)","previouslyFormattedCitation":"(2017)"},"properties":{"noteIndex":0},"schema":"https://github.com/citation-style-language/schema/raw/master/csl-citation.json"}</w:instrText>
      </w:r>
      <w:r w:rsidR="008E716B" w:rsidRPr="000E5369">
        <w:rPr>
          <w:rFonts w:ascii="Centaur" w:hAnsi="Centaur"/>
          <w:bCs/>
          <w:sz w:val="28"/>
          <w:szCs w:val="28"/>
        </w:rPr>
        <w:fldChar w:fldCharType="separate"/>
      </w:r>
      <w:r w:rsidRPr="000E5369">
        <w:rPr>
          <w:rFonts w:ascii="Centaur" w:hAnsi="Centaur"/>
          <w:bCs/>
          <w:noProof/>
          <w:sz w:val="28"/>
          <w:szCs w:val="28"/>
        </w:rPr>
        <w:t>(2017)</w:t>
      </w:r>
      <w:r w:rsidR="008E716B" w:rsidRPr="000E5369">
        <w:rPr>
          <w:rFonts w:ascii="Centaur" w:hAnsi="Centaur"/>
          <w:bCs/>
          <w:sz w:val="28"/>
          <w:szCs w:val="28"/>
        </w:rPr>
        <w:fldChar w:fldCharType="end"/>
      </w:r>
      <w:r w:rsidRPr="000E5369">
        <w:rPr>
          <w:rFonts w:ascii="Centaur" w:hAnsi="Centaur"/>
          <w:bCs/>
          <w:sz w:val="28"/>
          <w:szCs w:val="28"/>
        </w:rPr>
        <w:t xml:space="preserve"> added that</w:t>
      </w:r>
      <w:r w:rsidRPr="000E5369">
        <w:rPr>
          <w:rFonts w:ascii="Centaur" w:hAnsi="Centaur"/>
          <w:color w:val="FFFFFF" w:themeColor="background1"/>
          <w:sz w:val="28"/>
          <w:szCs w:val="28"/>
        </w:rPr>
        <w:t>l</w:t>
      </w:r>
      <w:r w:rsidRPr="000E5369">
        <w:rPr>
          <w:rFonts w:ascii="Centaur" w:hAnsi="Centaur"/>
          <w:bCs/>
          <w:sz w:val="28"/>
          <w:szCs w:val="28"/>
        </w:rPr>
        <w:t>the</w:t>
      </w:r>
      <w:r w:rsidRPr="000E5369">
        <w:rPr>
          <w:rFonts w:ascii="Centaur" w:hAnsi="Centaur"/>
          <w:color w:val="FFFFFF" w:themeColor="background1"/>
          <w:sz w:val="28"/>
          <w:szCs w:val="28"/>
        </w:rPr>
        <w:t>l</w:t>
      </w:r>
      <w:r w:rsidRPr="000E5369">
        <w:rPr>
          <w:rFonts w:ascii="Centaur" w:hAnsi="Centaur"/>
          <w:bCs/>
          <w:sz w:val="28"/>
          <w:szCs w:val="28"/>
        </w:rPr>
        <w:t>entrepreneurial orientation of an entrepreneur generates in the increasing outcome in business performance.</w:t>
      </w:r>
    </w:p>
    <w:p w:rsidR="00497FE6" w:rsidRPr="000E5369" w:rsidRDefault="00497FE6" w:rsidP="00497FE6">
      <w:pPr>
        <w:spacing w:before="0" w:line="240" w:lineRule="auto"/>
        <w:ind w:left="0" w:firstLine="900"/>
        <w:jc w:val="both"/>
        <w:rPr>
          <w:rFonts w:ascii="Centaur" w:hAnsi="Centaur"/>
          <w:bCs/>
          <w:sz w:val="28"/>
          <w:szCs w:val="28"/>
        </w:rPr>
      </w:pPr>
      <w:r w:rsidRPr="000E5369">
        <w:rPr>
          <w:rFonts w:ascii="Centaur" w:hAnsi="Centaur"/>
          <w:bCs/>
          <w:sz w:val="28"/>
          <w:szCs w:val="28"/>
        </w:rPr>
        <w:t>SMEs that seek to improve their company performance are advised to focus on the two things, such as entrepreneurial orientation and business strategy. Entrepreneurial orientation relates to a</w:t>
      </w:r>
      <w:r w:rsidRPr="000E5369">
        <w:rPr>
          <w:rFonts w:ascii="Centaur" w:hAnsi="Centaur"/>
          <w:color w:val="FFFFFF" w:themeColor="background1"/>
          <w:sz w:val="28"/>
          <w:szCs w:val="28"/>
        </w:rPr>
        <w:t>l</w:t>
      </w:r>
      <w:r w:rsidRPr="000E5369">
        <w:rPr>
          <w:rFonts w:ascii="Centaur" w:hAnsi="Centaur"/>
          <w:bCs/>
          <w:sz w:val="28"/>
          <w:szCs w:val="28"/>
        </w:rPr>
        <w:t>creative</w:t>
      </w:r>
      <w:r w:rsidRPr="000E5369">
        <w:rPr>
          <w:rFonts w:ascii="Centaur" w:hAnsi="Centaur"/>
          <w:color w:val="FFFFFF" w:themeColor="background1"/>
          <w:sz w:val="28"/>
          <w:szCs w:val="28"/>
        </w:rPr>
        <w:t>l</w:t>
      </w:r>
      <w:r w:rsidRPr="000E5369">
        <w:rPr>
          <w:rFonts w:ascii="Centaur" w:hAnsi="Centaur"/>
          <w:bCs/>
          <w:sz w:val="28"/>
          <w:szCs w:val="28"/>
        </w:rPr>
        <w:t>and</w:t>
      </w:r>
      <w:r w:rsidRPr="000E5369">
        <w:rPr>
          <w:rFonts w:ascii="Centaur" w:hAnsi="Centaur"/>
          <w:color w:val="FFFFFF" w:themeColor="background1"/>
          <w:sz w:val="28"/>
          <w:szCs w:val="28"/>
        </w:rPr>
        <w:t>l</w:t>
      </w:r>
      <w:r w:rsidRPr="000E5369">
        <w:rPr>
          <w:rFonts w:ascii="Centaur" w:hAnsi="Centaur"/>
          <w:bCs/>
          <w:sz w:val="28"/>
          <w:szCs w:val="28"/>
        </w:rPr>
        <w:t>innovative</w:t>
      </w:r>
      <w:r w:rsidRPr="000E5369">
        <w:rPr>
          <w:rFonts w:ascii="Centaur" w:hAnsi="Centaur"/>
          <w:color w:val="FFFFFF" w:themeColor="background1"/>
          <w:sz w:val="28"/>
          <w:szCs w:val="28"/>
        </w:rPr>
        <w:t>l</w:t>
      </w:r>
      <w:r w:rsidRPr="000E5369">
        <w:rPr>
          <w:rFonts w:ascii="Centaur" w:hAnsi="Centaur"/>
          <w:bCs/>
          <w:sz w:val="28"/>
          <w:szCs w:val="28"/>
        </w:rPr>
        <w:t>ability</w:t>
      </w:r>
      <w:r w:rsidRPr="000E5369">
        <w:rPr>
          <w:rFonts w:ascii="Centaur" w:hAnsi="Centaur"/>
          <w:color w:val="FFFFFF" w:themeColor="background1"/>
          <w:sz w:val="28"/>
          <w:szCs w:val="28"/>
        </w:rPr>
        <w:t>l</w:t>
      </w:r>
      <w:r w:rsidRPr="000E5369">
        <w:rPr>
          <w:rFonts w:ascii="Centaur" w:hAnsi="Centaur"/>
          <w:bCs/>
          <w:sz w:val="28"/>
          <w:szCs w:val="28"/>
        </w:rPr>
        <w:t>used</w:t>
      </w:r>
      <w:r w:rsidRPr="000E5369">
        <w:rPr>
          <w:rFonts w:ascii="Centaur" w:hAnsi="Centaur"/>
          <w:color w:val="FFFFFF" w:themeColor="background1"/>
          <w:sz w:val="28"/>
          <w:szCs w:val="28"/>
        </w:rPr>
        <w:t>l</w:t>
      </w:r>
      <w:r w:rsidRPr="000E5369">
        <w:rPr>
          <w:rFonts w:ascii="Centaur" w:hAnsi="Centaur"/>
          <w:bCs/>
          <w:sz w:val="28"/>
          <w:szCs w:val="28"/>
        </w:rPr>
        <w:t>as</w:t>
      </w:r>
      <w:r w:rsidRPr="000E5369">
        <w:rPr>
          <w:rFonts w:ascii="Centaur" w:hAnsi="Centaur"/>
          <w:color w:val="FFFFFF" w:themeColor="background1"/>
          <w:sz w:val="28"/>
          <w:szCs w:val="28"/>
        </w:rPr>
        <w:t>l</w:t>
      </w:r>
      <w:r w:rsidRPr="000E5369">
        <w:rPr>
          <w:rFonts w:ascii="Centaur" w:hAnsi="Centaur"/>
          <w:bCs/>
          <w:sz w:val="28"/>
          <w:szCs w:val="28"/>
        </w:rPr>
        <w:t>the</w:t>
      </w:r>
      <w:r w:rsidRPr="000E5369">
        <w:rPr>
          <w:rFonts w:ascii="Centaur" w:hAnsi="Centaur"/>
          <w:color w:val="FFFFFF" w:themeColor="background1"/>
          <w:sz w:val="28"/>
          <w:szCs w:val="28"/>
        </w:rPr>
        <w:t>l</w:t>
      </w:r>
      <w:r w:rsidRPr="000E5369">
        <w:rPr>
          <w:rFonts w:ascii="Centaur" w:hAnsi="Centaur"/>
          <w:bCs/>
          <w:sz w:val="28"/>
          <w:szCs w:val="28"/>
        </w:rPr>
        <w:t>basis,</w:t>
      </w:r>
      <w:r w:rsidRPr="000E5369">
        <w:rPr>
          <w:rFonts w:ascii="Centaur" w:hAnsi="Centaur"/>
          <w:color w:val="FFFFFF" w:themeColor="background1"/>
          <w:sz w:val="28"/>
          <w:szCs w:val="28"/>
        </w:rPr>
        <w:t>l</w:t>
      </w:r>
      <w:r w:rsidRPr="000E5369">
        <w:rPr>
          <w:rFonts w:ascii="Centaur" w:hAnsi="Centaur"/>
          <w:bCs/>
          <w:sz w:val="28"/>
          <w:szCs w:val="28"/>
        </w:rPr>
        <w:t>tips,</w:t>
      </w:r>
      <w:r w:rsidRPr="000E5369">
        <w:rPr>
          <w:rFonts w:ascii="Centaur" w:hAnsi="Centaur"/>
          <w:color w:val="FFFFFF" w:themeColor="background1"/>
          <w:sz w:val="28"/>
          <w:szCs w:val="28"/>
        </w:rPr>
        <w:t>l</w:t>
      </w:r>
      <w:r w:rsidRPr="000E5369">
        <w:rPr>
          <w:rFonts w:ascii="Centaur" w:hAnsi="Centaur"/>
          <w:bCs/>
          <w:sz w:val="28"/>
          <w:szCs w:val="28"/>
        </w:rPr>
        <w:t>and</w:t>
      </w:r>
      <w:r w:rsidRPr="000E5369">
        <w:rPr>
          <w:rFonts w:ascii="Centaur" w:hAnsi="Centaur"/>
          <w:color w:val="FFFFFF" w:themeColor="background1"/>
          <w:sz w:val="28"/>
          <w:szCs w:val="28"/>
        </w:rPr>
        <w:t>l</w:t>
      </w:r>
      <w:r w:rsidRPr="000E5369">
        <w:rPr>
          <w:rFonts w:ascii="Centaur" w:hAnsi="Centaur"/>
          <w:bCs/>
          <w:sz w:val="28"/>
          <w:szCs w:val="28"/>
        </w:rPr>
        <w:t>resources</w:t>
      </w:r>
      <w:r w:rsidRPr="000E5369">
        <w:rPr>
          <w:rFonts w:ascii="Centaur" w:hAnsi="Centaur"/>
          <w:color w:val="FFFFFF" w:themeColor="background1"/>
          <w:sz w:val="28"/>
          <w:szCs w:val="28"/>
        </w:rPr>
        <w:t>l</w:t>
      </w:r>
      <w:r w:rsidRPr="000E5369">
        <w:rPr>
          <w:rFonts w:ascii="Centaur" w:hAnsi="Centaur"/>
          <w:bCs/>
          <w:sz w:val="28"/>
          <w:szCs w:val="28"/>
        </w:rPr>
        <w:t>to</w:t>
      </w:r>
      <w:r w:rsidRPr="000E5369">
        <w:rPr>
          <w:rFonts w:ascii="Centaur" w:hAnsi="Centaur"/>
          <w:color w:val="FFFFFF" w:themeColor="background1"/>
          <w:sz w:val="28"/>
          <w:szCs w:val="28"/>
        </w:rPr>
        <w:t>l</w:t>
      </w:r>
      <w:r w:rsidRPr="000E5369">
        <w:rPr>
          <w:rFonts w:ascii="Centaur" w:hAnsi="Centaur"/>
          <w:bCs/>
          <w:sz w:val="28"/>
          <w:szCs w:val="28"/>
        </w:rPr>
        <w:t>find</w:t>
      </w:r>
      <w:r w:rsidRPr="000E5369">
        <w:rPr>
          <w:rFonts w:ascii="Centaur" w:hAnsi="Centaur"/>
          <w:color w:val="FFFFFF" w:themeColor="background1"/>
          <w:sz w:val="28"/>
          <w:szCs w:val="28"/>
        </w:rPr>
        <w:t>l</w:t>
      </w:r>
      <w:r w:rsidRPr="000E5369">
        <w:rPr>
          <w:rFonts w:ascii="Centaur" w:hAnsi="Centaur"/>
          <w:bCs/>
          <w:sz w:val="28"/>
          <w:szCs w:val="28"/>
        </w:rPr>
        <w:t>opportunities</w:t>
      </w:r>
      <w:r w:rsidRPr="000E5369">
        <w:rPr>
          <w:rFonts w:ascii="Centaur" w:hAnsi="Centaur"/>
          <w:color w:val="FFFFFF" w:themeColor="background1"/>
          <w:sz w:val="28"/>
          <w:szCs w:val="28"/>
        </w:rPr>
        <w:t>l</w:t>
      </w:r>
      <w:r w:rsidRPr="000E5369">
        <w:rPr>
          <w:rFonts w:ascii="Centaur" w:hAnsi="Centaur"/>
          <w:bCs/>
          <w:sz w:val="28"/>
          <w:szCs w:val="28"/>
        </w:rPr>
        <w:t>for success.</w:t>
      </w:r>
    </w:p>
    <w:p w:rsidR="00497FE6" w:rsidRPr="000E5369" w:rsidRDefault="00497FE6" w:rsidP="00497FE6">
      <w:pPr>
        <w:spacing w:before="0" w:line="240" w:lineRule="auto"/>
        <w:ind w:firstLine="567"/>
        <w:jc w:val="both"/>
        <w:rPr>
          <w:rFonts w:ascii="Centaur" w:hAnsi="Centaur"/>
          <w:bCs/>
          <w:color w:val="FF0000"/>
          <w:sz w:val="28"/>
          <w:szCs w:val="28"/>
        </w:rPr>
      </w:pPr>
    </w:p>
    <w:p w:rsidR="00497FE6" w:rsidRPr="000E5369" w:rsidRDefault="00497FE6" w:rsidP="00497FE6">
      <w:pPr>
        <w:spacing w:before="0" w:line="240" w:lineRule="auto"/>
        <w:ind w:left="90" w:firstLine="0"/>
        <w:jc w:val="both"/>
        <w:rPr>
          <w:rFonts w:ascii="Centaur" w:hAnsi="Centaur"/>
          <w:b/>
          <w:bCs/>
          <w:sz w:val="28"/>
          <w:szCs w:val="28"/>
        </w:rPr>
      </w:pPr>
      <w:r w:rsidRPr="000E5369">
        <w:rPr>
          <w:rFonts w:ascii="Centaur" w:hAnsi="Centaur"/>
          <w:b/>
          <w:bCs/>
          <w:sz w:val="28"/>
          <w:szCs w:val="28"/>
        </w:rPr>
        <w:t>Relationship of Competence, Work Motivation, and Entrepreneurship Orientation to Business Performance moderated by the Covid-19 Pandemic</w:t>
      </w:r>
    </w:p>
    <w:p w:rsidR="00497FE6" w:rsidRPr="000E5369" w:rsidRDefault="00497FE6" w:rsidP="00497FE6">
      <w:pPr>
        <w:spacing w:before="0" w:line="240" w:lineRule="auto"/>
        <w:ind w:left="0" w:firstLine="900"/>
        <w:jc w:val="both"/>
        <w:rPr>
          <w:rFonts w:ascii="Centaur" w:hAnsi="Centaur"/>
          <w:color w:val="FF0000"/>
          <w:sz w:val="28"/>
          <w:szCs w:val="28"/>
        </w:rPr>
      </w:pP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COVID-19</w:t>
      </w:r>
      <w:r w:rsidRPr="000E5369">
        <w:rPr>
          <w:rFonts w:ascii="Centaur" w:hAnsi="Centaur"/>
          <w:color w:val="FFFFFF" w:themeColor="background1"/>
          <w:sz w:val="28"/>
          <w:szCs w:val="28"/>
        </w:rPr>
        <w:t>l</w:t>
      </w:r>
      <w:r w:rsidRPr="000E5369">
        <w:rPr>
          <w:rFonts w:ascii="Centaur" w:hAnsi="Centaur"/>
          <w:sz w:val="28"/>
          <w:szCs w:val="28"/>
        </w:rPr>
        <w:t>pandemic becomes a trigger demonstrating the situation and conditions due to corona virus, widely health and safety, and in all fields, including the economy and business. The impact, especially related to the sustainability of the business world such as SMEs, is thus inarguably enormous. Therefore, in the era of a new normal, new behavior and new habits in running a business in each SME is encouraged to be performed. As an impact in business, each SME in Surabaya has navigated its new ways, inherently by complying with the COVID-19 health protocol and applicable laws and regulations, involving the competence and work motivation as well as entrepreneurial orientation to business performance during the redevelopment process</w:t>
      </w:r>
      <w:r w:rsidRPr="000E5369">
        <w:rPr>
          <w:rFonts w:ascii="Centaur" w:hAnsi="Centaur"/>
          <w:color w:val="FF0000"/>
          <w:sz w:val="28"/>
          <w:szCs w:val="28"/>
        </w:rPr>
        <w:t>.</w:t>
      </w:r>
    </w:p>
    <w:p w:rsidR="00497FE6" w:rsidRPr="000E5369" w:rsidRDefault="008E716B" w:rsidP="00497FE6">
      <w:pPr>
        <w:spacing w:before="0" w:line="240" w:lineRule="auto"/>
        <w:ind w:firstLine="567"/>
        <w:jc w:val="both"/>
        <w:rPr>
          <w:rFonts w:ascii="Centaur" w:hAnsi="Centaur"/>
          <w:b/>
          <w:color w:val="FF0000"/>
          <w:sz w:val="28"/>
          <w:szCs w:val="28"/>
        </w:rPr>
      </w:pPr>
      <w:r w:rsidRPr="008E716B">
        <w:rPr>
          <w:rFonts w:ascii="Centaur" w:hAnsi="Centaur"/>
          <w:noProof/>
          <w:sz w:val="28"/>
          <w:szCs w:val="28"/>
        </w:rPr>
        <w:pict>
          <v:group id="Group 23" o:spid="_x0000_s1074" style="position:absolute;left:0;text-align:left;margin-left:52.5pt;margin-top:3.95pt;width:316.75pt;height:139pt;z-index:251662336" coordorigin="2257,10542" coordsize="7615,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">
            <v:rect id="Rectangle 5" o:spid="_x0000_s1075" style="position:absolute;left:2257;top:11776;width:2053;height:8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textbox style="mso-next-textbox:#Rectangle 5">
                <w:txbxContent>
                  <w:p w:rsidR="007F35E9" w:rsidRDefault="007F35E9" w:rsidP="00497FE6">
                    <w:pPr>
                      <w:jc w:val="center"/>
                      <w:rPr>
                        <w:rFonts w:ascii="Garamond" w:hAnsi="Garamond"/>
                      </w:rPr>
                    </w:pPr>
                  </w:p>
                  <w:p w:rsidR="007F35E9" w:rsidRPr="00765A58" w:rsidRDefault="007F35E9" w:rsidP="00497FE6">
                    <w:pPr>
                      <w:jc w:val="center"/>
                      <w:rPr>
                        <w:rFonts w:ascii="Garamond" w:hAnsi="Garamond"/>
                      </w:rPr>
                    </w:pPr>
                    <w:r>
                      <w:rPr>
                        <w:rFonts w:ascii="Garamond" w:hAnsi="Garamond" w:cs="Angsana New"/>
                      </w:rPr>
                      <w:t>C</w:t>
                    </w:r>
                    <w:r w:rsidRPr="00532232">
                      <w:rPr>
                        <w:rFonts w:ascii="Garamond" w:hAnsi="Garamond" w:cs="Angsana New"/>
                      </w:rPr>
                      <w:t>ompetence</w:t>
                    </w:r>
                  </w:p>
                </w:txbxContent>
              </v:textbox>
            </v:rect>
            <v:rect id="Rectangle 6" o:spid="_x0000_s1076" style="position:absolute;left:5437;top:10542;width:1860;height:6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gxAAAANsAAAAPAAAAZHJzL2Rvd25yZXYueG1sRI9Ba8JA&#10;FITvBf/D8gq9NZumUm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Cv4gSDEAAAA2wAAAA8A&#10;AAAAAAAAAAAAAAAABwIAAGRycy9kb3ducmV2LnhtbFBLBQYAAAAAAwADALcAAAD4AgAAAAA=&#10;">
              <v:textbox style="mso-next-textbox:#Rectangle 6">
                <w:txbxContent>
                  <w:p w:rsidR="007F35E9" w:rsidRPr="00532232" w:rsidRDefault="007F35E9" w:rsidP="00497FE6">
                    <w:pPr>
                      <w:jc w:val="center"/>
                      <w:rPr>
                        <w:rFonts w:ascii="Garamond" w:hAnsi="Garamond"/>
                      </w:rPr>
                    </w:pPr>
                    <w:r w:rsidRPr="00532232">
                      <w:rPr>
                        <w:rFonts w:ascii="Garamond" w:hAnsi="Garamond"/>
                        <w:i/>
                      </w:rPr>
                      <w:t>Covid</w:t>
                    </w:r>
                    <w:r w:rsidRPr="00532232">
                      <w:rPr>
                        <w:rFonts w:ascii="Garamond" w:hAnsi="Garamond"/>
                      </w:rPr>
                      <w:t>-19 Pandemic</w:t>
                    </w:r>
                  </w:p>
                  <w:p w:rsidR="007F35E9" w:rsidRDefault="007F35E9" w:rsidP="00497FE6">
                    <w:pPr>
                      <w:jc w:val="center"/>
                      <w:rPr>
                        <w:sz w:val="18"/>
                        <w:szCs w:val="18"/>
                      </w:rPr>
                    </w:pPr>
                  </w:p>
                  <w:p w:rsidR="007F35E9" w:rsidRDefault="007F35E9" w:rsidP="00497FE6">
                    <w:pPr>
                      <w:jc w:val="center"/>
                      <w:rPr>
                        <w:sz w:val="18"/>
                        <w:szCs w:val="18"/>
                      </w:rPr>
                    </w:pPr>
                  </w:p>
                  <w:p w:rsidR="007F35E9" w:rsidRDefault="007F35E9" w:rsidP="00497FE6">
                    <w:pPr>
                      <w:jc w:val="center"/>
                      <w:rPr>
                        <w:sz w:val="18"/>
                        <w:szCs w:val="18"/>
                      </w:rPr>
                    </w:pPr>
                  </w:p>
                  <w:p w:rsidR="007F35E9" w:rsidRDefault="007F35E9" w:rsidP="00497FE6">
                    <w:pPr>
                      <w:jc w:val="center"/>
                      <w:rPr>
                        <w:sz w:val="18"/>
                        <w:szCs w:val="18"/>
                      </w:rPr>
                    </w:pPr>
                  </w:p>
                </w:txbxContent>
              </v:textbox>
            </v:rect>
            <v:rect id="Rectangle 7" o:spid="_x0000_s1077" style="position:absolute;left:8168;top:12582;width:1704;height: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style="mso-next-textbox:#Rectangle 7">
                <w:txbxContent>
                  <w:p w:rsidR="007F35E9" w:rsidRPr="00765A58" w:rsidRDefault="007F35E9" w:rsidP="00497FE6">
                    <w:pPr>
                      <w:jc w:val="center"/>
                      <w:rPr>
                        <w:rFonts w:ascii="Garamond" w:hAnsi="Garamond"/>
                      </w:rPr>
                    </w:pPr>
                    <w:r>
                      <w:rPr>
                        <w:rFonts w:ascii="Garamond" w:hAnsi="Garamond" w:cs="Angsana New"/>
                      </w:rPr>
                      <w:t>B</w:t>
                    </w:r>
                    <w:r w:rsidRPr="00532232">
                      <w:rPr>
                        <w:rFonts w:ascii="Garamond" w:hAnsi="Garamond" w:cs="Angsana New"/>
                      </w:rPr>
                      <w:t>usiness performance</w:t>
                    </w:r>
                  </w:p>
                </w:txbxContent>
              </v:textbox>
            </v:rect>
            <v:rect id="Rectangle 8" o:spid="_x0000_s1078" style="position:absolute;left:5542;top:12582;width:1607;height: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style="mso-next-textbox:#Rectangle 8">
                <w:txbxContent>
                  <w:p w:rsidR="007F35E9" w:rsidRPr="00532232" w:rsidRDefault="007F35E9" w:rsidP="00497FE6">
                    <w:pPr>
                      <w:jc w:val="center"/>
                      <w:rPr>
                        <w:rFonts w:ascii="Garamond" w:hAnsi="Garamond"/>
                        <w:sz w:val="18"/>
                        <w:szCs w:val="18"/>
                      </w:rPr>
                    </w:pPr>
                    <w:r w:rsidRPr="00532232">
                      <w:rPr>
                        <w:rFonts w:ascii="Garamond" w:hAnsi="Garamond" w:cs="Angsana New"/>
                        <w:sz w:val="18"/>
                        <w:szCs w:val="18"/>
                      </w:rPr>
                      <w:t>Entrepreneurship Orientation</w:t>
                    </w:r>
                  </w:p>
                </w:txbxContent>
              </v:textbox>
            </v:rect>
            <v:rect id="Rectangle 9" o:spid="_x0000_s1079" style="position:absolute;left:2257;top:13323;width:2053;height: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style="mso-next-textbox:#Rectangle 9">
                <w:txbxContent>
                  <w:p w:rsidR="007F35E9" w:rsidRDefault="007F35E9" w:rsidP="00497FE6">
                    <w:pPr>
                      <w:jc w:val="center"/>
                      <w:rPr>
                        <w:rFonts w:ascii="Garamond" w:hAnsi="Garamond"/>
                      </w:rPr>
                    </w:pPr>
                  </w:p>
                  <w:p w:rsidR="007F35E9" w:rsidRPr="00765A58" w:rsidRDefault="007F35E9" w:rsidP="00497FE6">
                    <w:pPr>
                      <w:jc w:val="center"/>
                      <w:rPr>
                        <w:rFonts w:ascii="Garamond" w:hAnsi="Garamond"/>
                      </w:rPr>
                    </w:pPr>
                    <w:r>
                      <w:rPr>
                        <w:rFonts w:ascii="Garamond" w:hAnsi="Garamond"/>
                      </w:rPr>
                      <w:t xml:space="preserve">Work </w:t>
                    </w:r>
                    <w:r w:rsidRPr="00765A58">
                      <w:rPr>
                        <w:rFonts w:ascii="Garamond" w:hAnsi="Garamond"/>
                      </w:rPr>
                      <w:t>Motiva</w:t>
                    </w:r>
                    <w:r>
                      <w:rPr>
                        <w:rFonts w:ascii="Garamond" w:hAnsi="Garamond"/>
                      </w:rPr>
                      <w:t>tion</w:t>
                    </w:r>
                  </w:p>
                </w:txbxContent>
              </v:textbox>
            </v:rect>
            <v:shapetype id="_x0000_t32" coordsize="21600,21600" o:spt="32" o:oned="t" path="m,l21600,21600e" filled="f">
              <v:path arrowok="t" fillok="f" o:connecttype="none"/>
              <o:lock v:ext="edit" shapetype="t"/>
            </v:shapetype>
            <v:shape id="AutoShape 10" o:spid="_x0000_s1080" type="#_x0000_t32" style="position:absolute;left:4310;top:12179;width:1232;height:71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shape id="AutoShape 11" o:spid="_x0000_s1081" type="#_x0000_t32" style="position:absolute;left:4310;top:13006;width:1232;height:7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AutoShape 12" o:spid="_x0000_s1082" type="#_x0000_t32" style="position:absolute;left:7149;top:12896;width:101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3" o:spid="_x0000_s1083" type="#_x0000_t32" style="position:absolute;left:4310;top:12179;width:328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14" o:spid="_x0000_s1084" type="#_x0000_t32" style="position:absolute;left:4310;top:13750;width:32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"/>
            <v:shape id="AutoShape 15" o:spid="_x0000_s1085" type="#_x0000_t32" style="position:absolute;left:7597;top:12179;width:571;height:6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16" o:spid="_x0000_s1086" type="#_x0000_t32" style="position:absolute;left:7522;top:13006;width:646;height:7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v:shape>
            <v:shape id="AutoShape 17" o:spid="_x0000_s1087" type="#_x0000_t32" style="position:absolute;left:6292;top:11201;width:1425;height:23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">
              <v:stroke dashstyle="dash" endarrow="block"/>
            </v:shape>
            <v:shape id="AutoShape 18" o:spid="_x0000_s1088" type="#_x0000_t32" style="position:absolute;left:6292;top:11201;width:1305;height:16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">
              <v:stroke dashstyle="dash" endarrow="block"/>
            </v:shape>
            <v:shape id="AutoShape 19" o:spid="_x0000_s1089" type="#_x0000_t32" style="position:absolute;left:6292;top:11201;width:1005;height:9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">
              <v:stroke dashstyle="dash" endarrow="block"/>
            </v:shape>
            <v:shape id="AutoShape 20" o:spid="_x0000_s1090" type="#_x0000_t32" style="position:absolute;left:4972;top:11201;width:1320;height:21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">
              <v:stroke dashstyle="dash" endarrow="block"/>
            </v:shape>
            <v:shape id="AutoShape 21" o:spid="_x0000_s1091" type="#_x0000_t32" style="position:absolute;left:4867;top:11201;width:1425;height:1253;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">
              <v:stroke dashstyle="dash" endarrow="block"/>
            </v:shape>
          </v:group>
        </w:pict>
      </w: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0E5369" w:rsidRDefault="00497FE6" w:rsidP="00497FE6">
      <w:pPr>
        <w:spacing w:before="0" w:line="240" w:lineRule="auto"/>
        <w:jc w:val="both"/>
        <w:rPr>
          <w:rFonts w:ascii="Centaur" w:hAnsi="Centaur"/>
          <w:b/>
          <w:color w:val="FF0000"/>
          <w:sz w:val="28"/>
          <w:szCs w:val="28"/>
        </w:rPr>
      </w:pPr>
    </w:p>
    <w:p w:rsidR="00497FE6" w:rsidRPr="005C3DCE" w:rsidRDefault="00497FE6" w:rsidP="005C3DCE">
      <w:pPr>
        <w:spacing w:before="0" w:line="240" w:lineRule="auto"/>
        <w:ind w:left="0" w:firstLine="0"/>
        <w:jc w:val="both"/>
        <w:rPr>
          <w:rFonts w:ascii="Centaur" w:hAnsi="Centaur"/>
          <w:b/>
          <w:color w:val="FF0000"/>
          <w:sz w:val="28"/>
          <w:szCs w:val="28"/>
          <w:lang w:val="en-US"/>
        </w:rPr>
      </w:pPr>
    </w:p>
    <w:p w:rsidR="00497FE6" w:rsidRPr="000E5369" w:rsidRDefault="00497FE6" w:rsidP="00497FE6">
      <w:pPr>
        <w:spacing w:before="0" w:line="240" w:lineRule="auto"/>
        <w:ind w:left="0" w:firstLine="0"/>
        <w:jc w:val="center"/>
        <w:rPr>
          <w:rFonts w:ascii="Centaur" w:hAnsi="Centaur"/>
          <w:b/>
          <w:sz w:val="28"/>
          <w:szCs w:val="28"/>
        </w:rPr>
      </w:pPr>
      <w:r w:rsidRPr="000E5369">
        <w:rPr>
          <w:rFonts w:ascii="Centaur" w:hAnsi="Centaur"/>
          <w:b/>
          <w:sz w:val="28"/>
          <w:szCs w:val="28"/>
        </w:rPr>
        <w:t>Figure 1</w:t>
      </w:r>
      <w:r w:rsidRPr="000E5369">
        <w:rPr>
          <w:rFonts w:ascii="Centaur" w:hAnsi="Centaur"/>
          <w:b/>
          <w:sz w:val="28"/>
          <w:szCs w:val="28"/>
          <w:lang w:val="en-US"/>
        </w:rPr>
        <w:t xml:space="preserve">. </w:t>
      </w:r>
      <w:r w:rsidRPr="000E5369">
        <w:rPr>
          <w:rFonts w:ascii="Centaur" w:hAnsi="Centaur"/>
          <w:sz w:val="28"/>
          <w:szCs w:val="28"/>
        </w:rPr>
        <w:t>Research Model</w:t>
      </w:r>
    </w:p>
    <w:p w:rsidR="00497FE6" w:rsidRPr="000E5369" w:rsidRDefault="00497FE6" w:rsidP="00497FE6">
      <w:pPr>
        <w:spacing w:before="0" w:line="240" w:lineRule="auto"/>
        <w:ind w:left="0" w:firstLine="0"/>
        <w:contextualSpacing/>
        <w:jc w:val="center"/>
        <w:rPr>
          <w:rFonts w:ascii="Centaur" w:hAnsi="Centaur"/>
          <w:b/>
          <w:sz w:val="28"/>
          <w:szCs w:val="28"/>
          <w:lang w:val="en-US"/>
        </w:rPr>
      </w:pPr>
    </w:p>
    <w:p w:rsidR="00497FE6" w:rsidRPr="000E5369" w:rsidRDefault="00497FE6" w:rsidP="00497FE6">
      <w:pPr>
        <w:pStyle w:val="ListParagraph"/>
        <w:widowControl/>
        <w:numPr>
          <w:ilvl w:val="0"/>
          <w:numId w:val="13"/>
        </w:numPr>
        <w:autoSpaceDE/>
        <w:autoSpaceDN/>
        <w:spacing w:before="0" w:line="240" w:lineRule="auto"/>
        <w:ind w:left="426" w:hanging="426"/>
        <w:contextualSpacing/>
        <w:rPr>
          <w:rFonts w:ascii="Centaur" w:hAnsi="Centaur"/>
          <w:b/>
          <w:sz w:val="28"/>
          <w:szCs w:val="28"/>
        </w:rPr>
      </w:pPr>
      <w:r w:rsidRPr="000E5369">
        <w:rPr>
          <w:rFonts w:ascii="Centaur" w:hAnsi="Centaur"/>
          <w:b/>
          <w:sz w:val="28"/>
          <w:szCs w:val="28"/>
        </w:rPr>
        <w:t>METHODOLOGY</w:t>
      </w:r>
    </w:p>
    <w:p w:rsidR="00497FE6" w:rsidRPr="000E5369" w:rsidRDefault="00497FE6" w:rsidP="00497FE6">
      <w:pPr>
        <w:spacing w:before="0" w:line="240" w:lineRule="auto"/>
        <w:ind w:left="0" w:firstLine="900"/>
        <w:jc w:val="both"/>
        <w:rPr>
          <w:rFonts w:ascii="Centaur" w:hAnsi="Centaur"/>
          <w:sz w:val="28"/>
          <w:szCs w:val="28"/>
        </w:rPr>
      </w:pPr>
      <w:r w:rsidRPr="000E5369">
        <w:rPr>
          <w:rFonts w:ascii="Centaur" w:hAnsi="Centaur"/>
          <w:sz w:val="28"/>
          <w:szCs w:val="28"/>
        </w:rPr>
        <w:t xml:space="preserve">This research utilizes an explanatory and causal, by explaining the causal relationship. The target population includes micro-entrepreneurs in the Culinary Tourism Center and registered at the Department of Cooperatives and Micro Enterprises, as amounting to 959 SMEs. The research sample was 130 SMEs, determined by using the proportional cluster random sampling technique with the criteria of having a minimum education of Junior High School or its equivalent, business duration of more than 1 year and own capital used was higher than IDR. 5 millions. The datawas collectedbyusing a questionnaire and measured on a Likert scale to obtain agreement or disagreement with a score of 1 to 4. Meanwhile, the unit of analysis applied the Structural Equation Modeling (SEM) operated through AMOS program. SEM is a multivariate statistical technique </w:t>
      </w:r>
      <w:r w:rsidRPr="000E5369">
        <w:rPr>
          <w:rFonts w:ascii="Centaur" w:hAnsi="Centaur"/>
          <w:sz w:val="28"/>
          <w:szCs w:val="28"/>
        </w:rPr>
        <w:lastRenderedPageBreak/>
        <w:t>which is a combination between factor analysis and regression analysis (correlation), which aims to test relationships - relationships between variables that exist in a model, both between indicators with the construct, or the relationship between constructs (Santoso, 2007).</w:t>
      </w:r>
    </w:p>
    <w:p w:rsidR="005C3DCE" w:rsidRDefault="005C3DCE" w:rsidP="005C3DCE">
      <w:pPr>
        <w:pStyle w:val="ListParagraph"/>
        <w:widowControl/>
        <w:autoSpaceDE/>
        <w:autoSpaceDN/>
        <w:spacing w:before="0" w:line="240" w:lineRule="auto"/>
        <w:ind w:left="540" w:firstLine="0"/>
        <w:contextualSpacing/>
        <w:rPr>
          <w:rFonts w:ascii="Centaur" w:hAnsi="Centaur"/>
          <w:b/>
          <w:sz w:val="28"/>
          <w:szCs w:val="28"/>
        </w:rPr>
      </w:pPr>
    </w:p>
    <w:p w:rsidR="00497FE6" w:rsidRPr="000E5369" w:rsidRDefault="00497FE6" w:rsidP="00497FE6">
      <w:pPr>
        <w:pStyle w:val="ListParagraph"/>
        <w:widowControl/>
        <w:numPr>
          <w:ilvl w:val="0"/>
          <w:numId w:val="13"/>
        </w:numPr>
        <w:autoSpaceDE/>
        <w:autoSpaceDN/>
        <w:spacing w:before="0" w:line="240" w:lineRule="auto"/>
        <w:ind w:left="540" w:hanging="540"/>
        <w:contextualSpacing/>
        <w:rPr>
          <w:rFonts w:ascii="Centaur" w:hAnsi="Centaur"/>
          <w:b/>
          <w:sz w:val="28"/>
          <w:szCs w:val="28"/>
        </w:rPr>
      </w:pPr>
      <w:r w:rsidRPr="000E5369">
        <w:rPr>
          <w:rFonts w:ascii="Centaur" w:hAnsi="Centaur"/>
          <w:b/>
          <w:sz w:val="28"/>
          <w:szCs w:val="28"/>
        </w:rPr>
        <w:t>RESULT AND DISCUSSION</w:t>
      </w:r>
    </w:p>
    <w:p w:rsidR="00497FE6" w:rsidRPr="000E5369" w:rsidRDefault="008E59AD" w:rsidP="00497FE6">
      <w:pPr>
        <w:spacing w:before="0" w:line="240" w:lineRule="auto"/>
        <w:ind w:left="360"/>
        <w:jc w:val="both"/>
        <w:rPr>
          <w:rFonts w:ascii="Centaur" w:hAnsi="Centaur"/>
          <w:b/>
          <w:noProof/>
          <w:sz w:val="28"/>
          <w:szCs w:val="28"/>
        </w:rPr>
      </w:pPr>
      <w:r w:rsidRPr="000E5369">
        <w:rPr>
          <w:rFonts w:ascii="Centaur" w:hAnsi="Centaur"/>
          <w:b/>
          <w:noProof/>
          <w:sz w:val="28"/>
          <w:szCs w:val="28"/>
        </w:rPr>
        <w:t>RESULT</w:t>
      </w:r>
    </w:p>
    <w:p w:rsidR="00497FE6" w:rsidRPr="000E5369" w:rsidRDefault="00497FE6" w:rsidP="00497FE6">
      <w:pPr>
        <w:spacing w:before="0" w:line="240" w:lineRule="auto"/>
        <w:ind w:left="360"/>
        <w:jc w:val="both"/>
        <w:rPr>
          <w:rFonts w:ascii="Centaur" w:hAnsi="Centaur"/>
          <w:b/>
          <w:noProof/>
          <w:sz w:val="28"/>
          <w:szCs w:val="28"/>
        </w:rPr>
      </w:pPr>
      <w:r w:rsidRPr="000E5369">
        <w:rPr>
          <w:rFonts w:ascii="Centaur" w:hAnsi="Centaur"/>
          <w:b/>
          <w:noProof/>
          <w:sz w:val="28"/>
          <w:szCs w:val="28"/>
        </w:rPr>
        <w:t>Respondent Profile</w:t>
      </w:r>
    </w:p>
    <w:p w:rsidR="00497FE6" w:rsidRPr="000E5369" w:rsidRDefault="00497FE6" w:rsidP="00497FE6">
      <w:pPr>
        <w:spacing w:before="0" w:line="240" w:lineRule="auto"/>
        <w:ind w:left="0" w:firstLine="900"/>
        <w:jc w:val="both"/>
        <w:rPr>
          <w:rFonts w:ascii="Centaur" w:hAnsi="Centaur"/>
          <w:sz w:val="28"/>
          <w:szCs w:val="28"/>
          <w:lang w:val="en-US"/>
        </w:rPr>
      </w:pPr>
      <w:r w:rsidRPr="000E5369">
        <w:rPr>
          <w:rFonts w:ascii="Centaur" w:hAnsi="Centaur"/>
          <w:sz w:val="28"/>
          <w:szCs w:val="28"/>
        </w:rPr>
        <w:t>Respondents were mostly women comprising by 56.9%, aged 41-50 years by 36.9%, high school education by 43.1%, operating more than 3 years by 77.7%, selling food and beverages as much as 51.5%, issuing own capital more than IDR 25 million or 46.2%, and the frequency of daily transactions with more than 60 people or 53.8%.</w:t>
      </w:r>
    </w:p>
    <w:p w:rsidR="00497FE6" w:rsidRPr="000E5369" w:rsidRDefault="00497FE6" w:rsidP="00497FE6">
      <w:pPr>
        <w:spacing w:before="0" w:line="240" w:lineRule="auto"/>
        <w:ind w:left="0" w:firstLine="900"/>
        <w:jc w:val="both"/>
        <w:rPr>
          <w:rFonts w:ascii="Centaur" w:hAnsi="Centaur"/>
          <w:noProof/>
          <w:sz w:val="28"/>
          <w:szCs w:val="28"/>
          <w:lang w:val="en-US"/>
        </w:rPr>
      </w:pPr>
    </w:p>
    <w:p w:rsidR="00497FE6" w:rsidRPr="000E5369" w:rsidRDefault="00497FE6" w:rsidP="00497FE6">
      <w:pPr>
        <w:spacing w:before="0" w:line="240" w:lineRule="auto"/>
        <w:ind w:left="360"/>
        <w:jc w:val="both"/>
        <w:rPr>
          <w:rFonts w:ascii="Centaur" w:hAnsi="Centaur"/>
          <w:noProof/>
          <w:sz w:val="28"/>
          <w:szCs w:val="28"/>
        </w:rPr>
      </w:pPr>
      <w:r w:rsidRPr="000E5369">
        <w:rPr>
          <w:rFonts w:ascii="Centaur" w:hAnsi="Centaur"/>
          <w:b/>
          <w:i/>
          <w:iCs/>
          <w:noProof/>
          <w:sz w:val="28"/>
          <w:szCs w:val="28"/>
        </w:rPr>
        <w:t>Structural Equation Modeling</w:t>
      </w:r>
      <w:r w:rsidRPr="000E5369">
        <w:rPr>
          <w:rFonts w:ascii="Centaur" w:hAnsi="Centaur"/>
          <w:b/>
          <w:noProof/>
          <w:sz w:val="28"/>
          <w:szCs w:val="28"/>
        </w:rPr>
        <w:t xml:space="preserve"> (SEM)</w:t>
      </w:r>
    </w:p>
    <w:p w:rsidR="00497FE6" w:rsidRPr="000E5369" w:rsidRDefault="00497FE6" w:rsidP="00497FE6">
      <w:pPr>
        <w:spacing w:before="0" w:line="240" w:lineRule="auto"/>
        <w:ind w:left="0" w:firstLine="900"/>
        <w:jc w:val="both"/>
        <w:rPr>
          <w:rFonts w:ascii="Centaur" w:hAnsi="Centaur"/>
          <w:sz w:val="28"/>
          <w:szCs w:val="28"/>
          <w:lang w:val="en-US"/>
        </w:rPr>
      </w:pPr>
      <w:r w:rsidRPr="000E5369">
        <w:rPr>
          <w:rFonts w:ascii="Centaur" w:hAnsi="Centaur"/>
          <w:color w:val="FFFFFF" w:themeColor="background1"/>
          <w:sz w:val="28"/>
          <w:szCs w:val="28"/>
        </w:rPr>
        <w:t>“</w:t>
      </w:r>
      <w:r w:rsidRPr="000E5369">
        <w:rPr>
          <w:rFonts w:ascii="Centaur" w:hAnsi="Centaur"/>
          <w:sz w:val="28"/>
          <w:szCs w:val="28"/>
        </w:rPr>
        <w:t>The structural model is initiated with an evaluation of the structural goodness of fit which aims to ensure that the developed model is in accordance with the data (fit). The results of the estimation of the structural model and the value of the goodness of fit criteria are presented in</w:t>
      </w:r>
      <w:r w:rsidRPr="000E5369">
        <w:rPr>
          <w:rFonts w:ascii="Centaur" w:hAnsi="Centaur"/>
          <w:color w:val="FFFFFF" w:themeColor="background1"/>
          <w:sz w:val="28"/>
          <w:szCs w:val="28"/>
        </w:rPr>
        <w:t>”</w:t>
      </w:r>
      <w:r w:rsidRPr="000E5369">
        <w:rPr>
          <w:rFonts w:ascii="Centaur" w:hAnsi="Centaur"/>
          <w:sz w:val="28"/>
          <w:szCs w:val="28"/>
        </w:rPr>
        <w:t xml:space="preserve"> the following Fig.2</w:t>
      </w:r>
    </w:p>
    <w:p w:rsidR="00497FE6" w:rsidRPr="000E5369" w:rsidRDefault="00497FE6" w:rsidP="00497FE6">
      <w:pPr>
        <w:spacing w:before="0" w:line="240" w:lineRule="auto"/>
        <w:ind w:firstLine="567"/>
        <w:jc w:val="both"/>
        <w:rPr>
          <w:rFonts w:ascii="Centaur" w:hAnsi="Centaur"/>
          <w:color w:val="FF0000"/>
          <w:sz w:val="28"/>
          <w:szCs w:val="28"/>
        </w:rPr>
      </w:pPr>
      <w:r w:rsidRPr="000E5369">
        <w:rPr>
          <w:rFonts w:ascii="Centaur" w:hAnsi="Centaur"/>
          <w:noProof/>
          <w:color w:val="FF0000"/>
          <w:sz w:val="28"/>
          <w:szCs w:val="28"/>
          <w:lang w:val="en-US"/>
        </w:rPr>
        <w:drawing>
          <wp:anchor distT="0" distB="0" distL="114300" distR="114300" simplePos="0" relativeHeight="251660288" behindDoc="1" locked="0" layoutInCell="1" allowOverlap="1">
            <wp:simplePos x="0" y="0"/>
            <wp:positionH relativeFrom="column">
              <wp:posOffset>962553</wp:posOffset>
            </wp:positionH>
            <wp:positionV relativeFrom="paragraph">
              <wp:posOffset>98367</wp:posOffset>
            </wp:positionV>
            <wp:extent cx="3424794" cy="3008120"/>
            <wp:effectExtent l="19050" t="0" r="4206" b="0"/>
            <wp:wrapNone/>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r="17395"/>
                    <a:stretch>
                      <a:fillRect/>
                    </a:stretch>
                  </pic:blipFill>
                  <pic:spPr bwMode="auto">
                    <a:xfrm>
                      <a:off x="0" y="0"/>
                      <a:ext cx="3428723" cy="3011571"/>
                    </a:xfrm>
                    <a:prstGeom prst="rect">
                      <a:avLst/>
                    </a:prstGeom>
                    <a:noFill/>
                    <a:ln w="9525">
                      <a:noFill/>
                      <a:miter lim="800000"/>
                      <a:headEnd/>
                      <a:tailEnd/>
                    </a:ln>
                  </pic:spPr>
                </pic:pic>
              </a:graphicData>
            </a:graphic>
          </wp:anchor>
        </w:drawing>
      </w: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8E716B" w:rsidP="00497FE6">
      <w:pPr>
        <w:spacing w:before="0" w:line="240" w:lineRule="auto"/>
        <w:ind w:firstLine="567"/>
        <w:jc w:val="both"/>
        <w:rPr>
          <w:rFonts w:ascii="Centaur" w:hAnsi="Centaur"/>
          <w:color w:val="FF0000"/>
          <w:sz w:val="28"/>
          <w:szCs w:val="28"/>
        </w:rPr>
      </w:pPr>
      <w:r w:rsidRPr="008E716B">
        <w:rPr>
          <w:rFonts w:ascii="Centaur" w:hAnsi="Centaur"/>
          <w:noProof/>
          <w:sz w:val="28"/>
          <w:szCs w:val="28"/>
        </w:rPr>
        <w:pict>
          <v:group id="Group 35" o:spid="_x0000_s1092" style="position:absolute;left:0;text-align:left;margin-left:72.45pt;margin-top:1.4pt;width:49.05pt;height:108.25pt;z-index:251663360" coordorigin="3034,9041" coordsize="452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">
            <v:oval id="Oval 36" o:spid="_x0000_s1093" style="position:absolute;left:3034;top:9407;width:1098;height: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" stroked="f">
              <v:textbox style="mso-next-textbox:#Oval 36">
                <w:txbxContent>
                  <w:p w:rsidR="007F35E9" w:rsidRPr="00FD722A" w:rsidRDefault="007F35E9" w:rsidP="00497FE6">
                    <w:pPr>
                      <w:ind w:left="-142" w:right="-136"/>
                      <w:jc w:val="center"/>
                      <w:rPr>
                        <w:rFonts w:ascii="Garamond" w:hAnsi="Garamond"/>
                        <w:sz w:val="14"/>
                        <w:szCs w:val="18"/>
                      </w:rPr>
                    </w:pPr>
                    <w:r w:rsidRPr="00FD722A">
                      <w:rPr>
                        <w:rFonts w:ascii="Garamond" w:hAnsi="Garamond"/>
                        <w:sz w:val="14"/>
                        <w:szCs w:val="18"/>
                      </w:rPr>
                      <w:t>Competence</w:t>
                    </w:r>
                  </w:p>
                  <w:p w:rsidR="007F35E9" w:rsidRPr="00FD722A" w:rsidRDefault="007F35E9" w:rsidP="00497FE6">
                    <w:pPr>
                      <w:ind w:left="-142" w:right="-136"/>
                      <w:jc w:val="center"/>
                      <w:rPr>
                        <w:rFonts w:ascii="Garamond" w:hAnsi="Garamond"/>
                        <w:sz w:val="14"/>
                        <w:szCs w:val="18"/>
                      </w:rPr>
                    </w:pPr>
                    <w:r w:rsidRPr="00FD722A">
                      <w:rPr>
                        <w:rFonts w:ascii="Garamond" w:hAnsi="Garamond"/>
                        <w:sz w:val="14"/>
                        <w:szCs w:val="18"/>
                      </w:rPr>
                      <w:t>(X1)</w:t>
                    </w:r>
                  </w:p>
                </w:txbxContent>
              </v:textbox>
            </v:oval>
            <v:oval id="Oval 37" o:spid="_x0000_s1094" style="position:absolute;left:3044;top:13552;width:1101;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" stroked="f">
              <v:textbox style="mso-next-textbox:#Oval 37">
                <w:txbxContent>
                  <w:p w:rsidR="007F35E9" w:rsidRPr="00FD722A" w:rsidRDefault="007F35E9" w:rsidP="00497FE6">
                    <w:pPr>
                      <w:ind w:left="-142" w:right="-136"/>
                      <w:jc w:val="center"/>
                      <w:rPr>
                        <w:rFonts w:ascii="Arial" w:hAnsi="Arial" w:cs="Arial"/>
                        <w:sz w:val="12"/>
                        <w:szCs w:val="12"/>
                      </w:rPr>
                    </w:pPr>
                    <w:r w:rsidRPr="00FD722A">
                      <w:rPr>
                        <w:rFonts w:ascii="Arial" w:hAnsi="Arial" w:cs="Arial"/>
                        <w:sz w:val="12"/>
                        <w:szCs w:val="12"/>
                      </w:rPr>
                      <w:t>Work Motivation(X2)</w:t>
                    </w:r>
                  </w:p>
                </w:txbxContent>
              </v:textbox>
            </v:oval>
            <v:oval id="Oval 38" o:spid="_x0000_s1095" style="position:absolute;left:4845;top:11463;width:1101;height: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" stroked="f">
              <v:textbox style="mso-next-textbox:#Oval 38">
                <w:txbxContent>
                  <w:p w:rsidR="007F35E9" w:rsidRPr="00FD722A" w:rsidRDefault="007F35E9" w:rsidP="00497FE6">
                    <w:pPr>
                      <w:ind w:left="-142" w:right="-136"/>
                      <w:jc w:val="center"/>
                      <w:rPr>
                        <w:rFonts w:ascii="Arial" w:hAnsi="Arial" w:cs="Arial"/>
                        <w:sz w:val="12"/>
                        <w:szCs w:val="12"/>
                      </w:rPr>
                    </w:pPr>
                    <w:r w:rsidRPr="00FD722A">
                      <w:rPr>
                        <w:rFonts w:ascii="Arial" w:hAnsi="Arial" w:cs="Arial"/>
                        <w:sz w:val="10"/>
                        <w:szCs w:val="10"/>
                      </w:rPr>
                      <w:t>Entrepreneurship Orientation</w:t>
                    </w:r>
                    <w:r w:rsidRPr="00FD722A">
                      <w:rPr>
                        <w:rFonts w:ascii="Arial" w:hAnsi="Arial" w:cs="Arial"/>
                        <w:sz w:val="12"/>
                        <w:szCs w:val="12"/>
                      </w:rPr>
                      <w:t xml:space="preserve"> (Y1)</w:t>
                    </w:r>
                  </w:p>
                </w:txbxContent>
              </v:textbox>
            </v:oval>
            <v:oval id="Oval 39" o:spid="_x0000_s1096" style="position:absolute;left:5588;top:9041;width:1101;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" stroked="f">
              <v:textbox style="mso-next-textbox:#Oval 39">
                <w:txbxContent>
                  <w:p w:rsidR="007F35E9" w:rsidRPr="00FD722A" w:rsidRDefault="007F35E9" w:rsidP="00497FE6">
                    <w:pPr>
                      <w:ind w:left="-142" w:right="-131"/>
                      <w:jc w:val="center"/>
                      <w:rPr>
                        <w:rFonts w:ascii="Arial" w:hAnsi="Arial" w:cs="Arial"/>
                        <w:sz w:val="12"/>
                        <w:szCs w:val="12"/>
                      </w:rPr>
                    </w:pPr>
                    <w:r w:rsidRPr="00FD722A">
                      <w:rPr>
                        <w:rFonts w:ascii="Arial" w:hAnsi="Arial" w:cs="Arial"/>
                        <w:sz w:val="12"/>
                        <w:szCs w:val="12"/>
                      </w:rPr>
                      <w:t>Covid-19 Pandemic (Z)</w:t>
                    </w:r>
                  </w:p>
                </w:txbxContent>
              </v:textbox>
            </v:oval>
            <v:oval id="Oval 40" o:spid="_x0000_s1097" style="position:absolute;left:6457;top:11478;width:1099;height: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" stroked="f">
              <v:textbox style="mso-next-textbox:#Oval 40">
                <w:txbxContent>
                  <w:p w:rsidR="007F35E9" w:rsidRDefault="007F35E9" w:rsidP="00497FE6">
                    <w:pPr>
                      <w:ind w:left="-284" w:right="-261"/>
                      <w:jc w:val="center"/>
                      <w:rPr>
                        <w:rFonts w:ascii="Arial" w:hAnsi="Arial" w:cs="Arial"/>
                        <w:sz w:val="10"/>
                        <w:szCs w:val="10"/>
                      </w:rPr>
                    </w:pPr>
                    <w:r w:rsidRPr="00FD722A">
                      <w:rPr>
                        <w:rFonts w:ascii="Arial" w:hAnsi="Arial" w:cs="Arial"/>
                        <w:sz w:val="10"/>
                        <w:szCs w:val="10"/>
                      </w:rPr>
                      <w:t>Business</w:t>
                    </w:r>
                  </w:p>
                  <w:p w:rsidR="007F35E9" w:rsidRPr="00521E0E" w:rsidRDefault="007F35E9" w:rsidP="00497FE6">
                    <w:pPr>
                      <w:ind w:left="-284" w:right="-261"/>
                      <w:jc w:val="center"/>
                      <w:rPr>
                        <w:rFonts w:ascii="Arial" w:hAnsi="Arial" w:cs="Arial"/>
                        <w:sz w:val="10"/>
                        <w:szCs w:val="10"/>
                      </w:rPr>
                    </w:pPr>
                    <w:r>
                      <w:rPr>
                        <w:rFonts w:ascii="Arial" w:hAnsi="Arial" w:cs="Arial"/>
                        <w:sz w:val="10"/>
                        <w:szCs w:val="10"/>
                      </w:rPr>
                      <w:t>P</w:t>
                    </w:r>
                    <w:r w:rsidRPr="00FD722A">
                      <w:rPr>
                        <w:rFonts w:ascii="Arial" w:hAnsi="Arial" w:cs="Arial"/>
                        <w:sz w:val="10"/>
                        <w:szCs w:val="10"/>
                      </w:rPr>
                      <w:t>erformance</w:t>
                    </w:r>
                    <w:r w:rsidRPr="00FD722A">
                      <w:rPr>
                        <w:rFonts w:ascii="Arial" w:hAnsi="Arial" w:cs="Arial"/>
                        <w:sz w:val="12"/>
                        <w:szCs w:val="12"/>
                      </w:rPr>
                      <w:t xml:space="preserve"> (Y2</w:t>
                    </w:r>
                    <w:r w:rsidRPr="00521E0E">
                      <w:rPr>
                        <w:rFonts w:ascii="Arial" w:hAnsi="Arial" w:cs="Arial"/>
                        <w:sz w:val="10"/>
                        <w:szCs w:val="10"/>
                      </w:rPr>
                      <w:t>)</w:t>
                    </w:r>
                  </w:p>
                </w:txbxContent>
              </v:textbox>
            </v:oval>
          </v:group>
        </w:pict>
      </w: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5C3DCE" w:rsidRDefault="00497FE6" w:rsidP="00497FE6">
      <w:pPr>
        <w:spacing w:before="0" w:line="240" w:lineRule="auto"/>
        <w:ind w:left="0" w:firstLine="0"/>
        <w:jc w:val="both"/>
        <w:rPr>
          <w:rFonts w:ascii="Centaur" w:hAnsi="Centaur"/>
          <w:color w:val="FF0000"/>
          <w:sz w:val="28"/>
          <w:szCs w:val="28"/>
          <w:lang w:val="en-US"/>
        </w:rPr>
      </w:pPr>
    </w:p>
    <w:p w:rsidR="00497FE6" w:rsidRPr="00A43BA5" w:rsidRDefault="00497FE6" w:rsidP="00A43BA5">
      <w:pPr>
        <w:spacing w:before="0" w:line="240" w:lineRule="auto"/>
        <w:ind w:left="90" w:firstLine="0"/>
        <w:jc w:val="center"/>
        <w:rPr>
          <w:rFonts w:ascii="Centaur" w:hAnsi="Centaur"/>
          <w:b/>
          <w:sz w:val="28"/>
          <w:szCs w:val="28"/>
          <w:lang w:val="en-US"/>
        </w:rPr>
      </w:pPr>
      <w:r w:rsidRPr="000E5369">
        <w:rPr>
          <w:rFonts w:ascii="Centaur" w:hAnsi="Centaur"/>
          <w:b/>
          <w:sz w:val="28"/>
          <w:szCs w:val="28"/>
        </w:rPr>
        <w:t>Figure 2</w:t>
      </w:r>
      <w:r w:rsidRPr="000E5369">
        <w:rPr>
          <w:rFonts w:ascii="Centaur" w:hAnsi="Centaur"/>
          <w:b/>
          <w:sz w:val="28"/>
          <w:szCs w:val="28"/>
          <w:lang w:val="en-US"/>
        </w:rPr>
        <w:t>.</w:t>
      </w:r>
      <w:r w:rsidRPr="000E5369">
        <w:rPr>
          <w:rFonts w:ascii="Centaur" w:hAnsi="Centaur"/>
          <w:sz w:val="28"/>
          <w:szCs w:val="28"/>
          <w:lang w:val="en-US"/>
        </w:rPr>
        <w:t xml:space="preserve"> </w:t>
      </w:r>
      <w:r w:rsidRPr="000E5369">
        <w:rPr>
          <w:rFonts w:ascii="Centaur" w:hAnsi="Centaur"/>
          <w:sz w:val="28"/>
          <w:szCs w:val="28"/>
        </w:rPr>
        <w:t>Full SEM Model Results (Base Model)</w:t>
      </w:r>
    </w:p>
    <w:p w:rsidR="00497FE6" w:rsidRPr="000E5369" w:rsidRDefault="00497FE6" w:rsidP="00497FE6">
      <w:pPr>
        <w:spacing w:before="0" w:line="240" w:lineRule="auto"/>
        <w:ind w:left="0" w:firstLine="900"/>
        <w:jc w:val="both"/>
        <w:rPr>
          <w:rFonts w:ascii="Centaur" w:hAnsi="Centaur"/>
          <w:sz w:val="28"/>
          <w:szCs w:val="28"/>
        </w:rPr>
      </w:pPr>
      <w:r w:rsidRPr="000E5369">
        <w:rPr>
          <w:rFonts w:ascii="Centaur" w:hAnsi="Centaur"/>
          <w:sz w:val="28"/>
          <w:szCs w:val="28"/>
        </w:rPr>
        <w:lastRenderedPageBreak/>
        <w:t>The calculation results of the goodness of fit index value generated by the structural model of the SEM base model are</w:t>
      </w:r>
      <w:r w:rsidRPr="000E5369">
        <w:rPr>
          <w:rFonts w:ascii="Centaur" w:hAnsi="Centaur"/>
          <w:color w:val="FFFFFF" w:themeColor="background1"/>
          <w:sz w:val="28"/>
          <w:szCs w:val="28"/>
        </w:rPr>
        <w:t>l</w:t>
      </w:r>
      <w:r w:rsidRPr="000E5369">
        <w:rPr>
          <w:rFonts w:ascii="Centaur" w:hAnsi="Centaur"/>
          <w:sz w:val="28"/>
          <w:szCs w:val="28"/>
        </w:rPr>
        <w:t>presented</w:t>
      </w:r>
      <w:r w:rsidRPr="000E5369">
        <w:rPr>
          <w:rFonts w:ascii="Centaur" w:hAnsi="Centaur"/>
          <w:color w:val="FFFFFF" w:themeColor="background1"/>
          <w:sz w:val="28"/>
          <w:szCs w:val="28"/>
        </w:rPr>
        <w:t>l</w:t>
      </w:r>
      <w:r w:rsidRPr="000E5369">
        <w:rPr>
          <w:rFonts w:ascii="Centaur" w:hAnsi="Centaur"/>
          <w:sz w:val="28"/>
          <w:szCs w:val="28"/>
        </w:rPr>
        <w:t>in</w:t>
      </w:r>
      <w:r w:rsidRPr="000E5369">
        <w:rPr>
          <w:rFonts w:ascii="Centaur" w:hAnsi="Centaur"/>
          <w:color w:val="FFFFFF" w:themeColor="background1"/>
          <w:sz w:val="28"/>
          <w:szCs w:val="28"/>
        </w:rPr>
        <w:t>l</w:t>
      </w:r>
      <w:r w:rsidRPr="000E5369">
        <w:rPr>
          <w:rFonts w:ascii="Centaur" w:hAnsi="Centaur"/>
          <w:sz w:val="28"/>
          <w:szCs w:val="28"/>
        </w:rPr>
        <w:t>Table</w:t>
      </w:r>
      <w:r w:rsidRPr="000E5369">
        <w:rPr>
          <w:rFonts w:ascii="Centaur" w:hAnsi="Centaur"/>
          <w:color w:val="FFFFFF" w:themeColor="background1"/>
          <w:sz w:val="28"/>
          <w:szCs w:val="28"/>
        </w:rPr>
        <w:t>l</w:t>
      </w:r>
      <w:r w:rsidRPr="000E5369">
        <w:rPr>
          <w:rFonts w:ascii="Centaur" w:hAnsi="Centaur"/>
          <w:sz w:val="28"/>
          <w:szCs w:val="28"/>
        </w:rPr>
        <w:t>1 as follows:</w:t>
      </w:r>
    </w:p>
    <w:p w:rsidR="00497FE6" w:rsidRPr="000E5369" w:rsidRDefault="00497FE6" w:rsidP="00497FE6">
      <w:pPr>
        <w:spacing w:before="0" w:line="240" w:lineRule="auto"/>
        <w:ind w:left="0" w:firstLine="0"/>
        <w:jc w:val="both"/>
        <w:rPr>
          <w:rFonts w:ascii="Centaur" w:hAnsi="Centaur"/>
          <w:noProof/>
          <w:sz w:val="28"/>
          <w:szCs w:val="28"/>
          <w:lang w:val="en-US"/>
        </w:rPr>
      </w:pPr>
      <w:r w:rsidRPr="000E5369">
        <w:rPr>
          <w:rFonts w:ascii="Centaur" w:hAnsi="Centaur"/>
          <w:noProof/>
          <w:sz w:val="28"/>
          <w:szCs w:val="28"/>
          <w:lang w:val="en-US"/>
        </w:rPr>
        <w:drawing>
          <wp:anchor distT="0" distB="0" distL="114300" distR="114300" simplePos="0" relativeHeight="251665408" behindDoc="0" locked="0" layoutInCell="1" allowOverlap="1">
            <wp:simplePos x="0" y="0"/>
            <wp:positionH relativeFrom="column">
              <wp:posOffset>31115</wp:posOffset>
            </wp:positionH>
            <wp:positionV relativeFrom="paragraph">
              <wp:posOffset>95250</wp:posOffset>
            </wp:positionV>
            <wp:extent cx="5490845" cy="1769110"/>
            <wp:effectExtent l="19050" t="0" r="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biLevel thresh="75000"/>
                    </a:blip>
                    <a:srcRect l="5448" t="22152" r="4625" b="26265"/>
                    <a:stretch/>
                  </pic:blipFill>
                  <pic:spPr bwMode="auto">
                    <a:xfrm>
                      <a:off x="0" y="0"/>
                      <a:ext cx="5490845" cy="17691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497FE6" w:rsidRPr="000E5369" w:rsidRDefault="00497FE6" w:rsidP="00497FE6">
      <w:pPr>
        <w:spacing w:before="0" w:line="240" w:lineRule="auto"/>
        <w:ind w:left="0" w:firstLine="900"/>
        <w:jc w:val="both"/>
        <w:rPr>
          <w:rFonts w:ascii="Centaur" w:hAnsi="Centaur"/>
          <w:sz w:val="28"/>
          <w:szCs w:val="28"/>
        </w:rPr>
      </w:pPr>
      <w:r w:rsidRPr="000E5369">
        <w:rPr>
          <w:rFonts w:ascii="Centaur" w:hAnsi="Centaur"/>
          <w:sz w:val="28"/>
          <w:szCs w:val="28"/>
        </w:rPr>
        <w:t>The results of the structural model suitability test (base model) indicate that there are several criteria show poor results (poor fit), thus the structural model can be modified to obtain a better level of model suitability.</w:t>
      </w:r>
    </w:p>
    <w:p w:rsidR="00497FE6" w:rsidRPr="000E5369" w:rsidRDefault="00497FE6" w:rsidP="00497FE6">
      <w:pPr>
        <w:spacing w:before="0" w:line="240" w:lineRule="auto"/>
        <w:ind w:firstLine="567"/>
        <w:jc w:val="both"/>
        <w:rPr>
          <w:rFonts w:ascii="Centaur" w:hAnsi="Centaur"/>
          <w:color w:val="FF0000"/>
          <w:sz w:val="28"/>
          <w:szCs w:val="28"/>
        </w:rPr>
      </w:pPr>
      <w:r w:rsidRPr="000E5369">
        <w:rPr>
          <w:rFonts w:ascii="Centaur" w:hAnsi="Centaur"/>
          <w:noProof/>
          <w:color w:val="FF0000"/>
          <w:sz w:val="28"/>
          <w:szCs w:val="28"/>
          <w:lang w:val="en-US"/>
        </w:rPr>
        <w:drawing>
          <wp:anchor distT="0" distB="0" distL="114300" distR="114300" simplePos="0" relativeHeight="251666432" behindDoc="1" locked="0" layoutInCell="1" allowOverlap="1">
            <wp:simplePos x="0" y="0"/>
            <wp:positionH relativeFrom="column">
              <wp:posOffset>962025</wp:posOffset>
            </wp:positionH>
            <wp:positionV relativeFrom="paragraph">
              <wp:posOffset>163195</wp:posOffset>
            </wp:positionV>
            <wp:extent cx="3573780" cy="3146425"/>
            <wp:effectExtent l="19050" t="0" r="7620" b="0"/>
            <wp:wrapNone/>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a:stretch>
                      <a:fillRect/>
                    </a:stretch>
                  </pic:blipFill>
                  <pic:spPr bwMode="auto">
                    <a:xfrm>
                      <a:off x="0" y="0"/>
                      <a:ext cx="3573780" cy="3146425"/>
                    </a:xfrm>
                    <a:prstGeom prst="rect">
                      <a:avLst/>
                    </a:prstGeom>
                    <a:noFill/>
                    <a:ln w="9525">
                      <a:noFill/>
                      <a:miter lim="800000"/>
                      <a:headEnd/>
                      <a:tailEnd/>
                    </a:ln>
                  </pic:spPr>
                </pic:pic>
              </a:graphicData>
            </a:graphic>
          </wp:anchor>
        </w:drawing>
      </w: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firstLine="567"/>
        <w:jc w:val="both"/>
        <w:rPr>
          <w:rFonts w:ascii="Centaur" w:hAnsi="Centaur"/>
          <w:sz w:val="28"/>
          <w:szCs w:val="28"/>
        </w:rPr>
      </w:pPr>
    </w:p>
    <w:p w:rsidR="00497FE6" w:rsidRPr="000E5369" w:rsidRDefault="00497FE6" w:rsidP="00497FE6">
      <w:pPr>
        <w:spacing w:before="0" w:line="240" w:lineRule="auto"/>
        <w:ind w:firstLine="567"/>
        <w:jc w:val="both"/>
        <w:rPr>
          <w:rFonts w:ascii="Centaur" w:hAnsi="Centaur"/>
          <w:sz w:val="28"/>
          <w:szCs w:val="28"/>
        </w:rPr>
      </w:pPr>
    </w:p>
    <w:p w:rsidR="00497FE6" w:rsidRPr="000E5369" w:rsidRDefault="00497FE6" w:rsidP="00497FE6">
      <w:pPr>
        <w:spacing w:before="0" w:line="240" w:lineRule="auto"/>
        <w:ind w:firstLine="567"/>
        <w:jc w:val="both"/>
        <w:rPr>
          <w:rFonts w:ascii="Centaur" w:hAnsi="Centaur"/>
          <w:sz w:val="28"/>
          <w:szCs w:val="28"/>
        </w:rPr>
      </w:pPr>
    </w:p>
    <w:p w:rsidR="00497FE6" w:rsidRPr="000E5369" w:rsidRDefault="00497FE6" w:rsidP="00497FE6">
      <w:pPr>
        <w:spacing w:before="0" w:line="240" w:lineRule="auto"/>
        <w:ind w:firstLine="567"/>
        <w:jc w:val="both"/>
        <w:rPr>
          <w:rFonts w:ascii="Centaur" w:hAnsi="Centaur"/>
          <w:sz w:val="28"/>
          <w:szCs w:val="28"/>
        </w:rPr>
      </w:pPr>
    </w:p>
    <w:p w:rsidR="00497FE6" w:rsidRPr="000E5369" w:rsidRDefault="00497FE6" w:rsidP="00497FE6">
      <w:pPr>
        <w:spacing w:before="0" w:line="240" w:lineRule="auto"/>
        <w:ind w:firstLine="567"/>
        <w:jc w:val="both"/>
        <w:rPr>
          <w:rFonts w:ascii="Centaur" w:hAnsi="Centaur"/>
          <w:sz w:val="28"/>
          <w:szCs w:val="28"/>
        </w:rPr>
      </w:pPr>
    </w:p>
    <w:p w:rsidR="00497FE6" w:rsidRPr="000E5369" w:rsidRDefault="00497FE6" w:rsidP="00497FE6">
      <w:pPr>
        <w:spacing w:before="0" w:line="240" w:lineRule="auto"/>
        <w:ind w:left="0" w:hanging="3"/>
        <w:jc w:val="center"/>
        <w:rPr>
          <w:rFonts w:ascii="Centaur" w:hAnsi="Centaur"/>
          <w:b/>
          <w:sz w:val="28"/>
          <w:szCs w:val="28"/>
        </w:rPr>
      </w:pPr>
      <w:r w:rsidRPr="000E5369">
        <w:rPr>
          <w:rFonts w:ascii="Centaur" w:hAnsi="Centaur"/>
          <w:b/>
          <w:sz w:val="28"/>
          <w:szCs w:val="28"/>
        </w:rPr>
        <w:t>Figure 3</w:t>
      </w:r>
      <w:r w:rsidRPr="000E5369">
        <w:rPr>
          <w:rFonts w:ascii="Centaur" w:hAnsi="Centaur"/>
          <w:b/>
          <w:sz w:val="28"/>
          <w:szCs w:val="28"/>
          <w:lang w:val="en-US"/>
        </w:rPr>
        <w:t xml:space="preserve">. </w:t>
      </w:r>
      <w:r w:rsidRPr="000E5369">
        <w:rPr>
          <w:rFonts w:ascii="Centaur" w:hAnsi="Centaur"/>
          <w:sz w:val="28"/>
          <w:szCs w:val="28"/>
        </w:rPr>
        <w:t>Full SEM Model Results (Modification Model)</w:t>
      </w:r>
    </w:p>
    <w:p w:rsidR="00497FE6" w:rsidRPr="000E5369" w:rsidRDefault="00497FE6" w:rsidP="001901C6">
      <w:pPr>
        <w:spacing w:before="0" w:line="240" w:lineRule="auto"/>
        <w:ind w:left="0" w:firstLine="0"/>
        <w:jc w:val="both"/>
        <w:rPr>
          <w:rFonts w:ascii="Centaur" w:hAnsi="Centaur"/>
          <w:sz w:val="28"/>
          <w:szCs w:val="28"/>
          <w:lang w:val="en-US"/>
        </w:rPr>
      </w:pPr>
    </w:p>
    <w:p w:rsidR="00497FE6" w:rsidRPr="000E5369" w:rsidRDefault="001901C6" w:rsidP="001901C6">
      <w:pPr>
        <w:spacing w:before="0" w:line="240" w:lineRule="auto"/>
        <w:ind w:left="0" w:firstLine="900"/>
        <w:jc w:val="both"/>
        <w:rPr>
          <w:rFonts w:ascii="Centaur" w:hAnsi="Centaur"/>
          <w:sz w:val="28"/>
          <w:szCs w:val="28"/>
        </w:rPr>
      </w:pPr>
      <w:r w:rsidRPr="000E5369">
        <w:rPr>
          <w:rFonts w:ascii="Centaur" w:hAnsi="Centaur"/>
          <w:noProof/>
          <w:sz w:val="28"/>
          <w:szCs w:val="28"/>
          <w:lang w:val="en-US"/>
        </w:rPr>
        <w:lastRenderedPageBreak/>
        <w:drawing>
          <wp:anchor distT="0" distB="0" distL="114300" distR="114300" simplePos="0" relativeHeight="251667456" behindDoc="0" locked="0" layoutInCell="1" allowOverlap="1">
            <wp:simplePos x="0" y="0"/>
            <wp:positionH relativeFrom="column">
              <wp:posOffset>33655</wp:posOffset>
            </wp:positionH>
            <wp:positionV relativeFrom="paragraph">
              <wp:posOffset>447675</wp:posOffset>
            </wp:positionV>
            <wp:extent cx="5493385" cy="1828800"/>
            <wp:effectExtent l="1905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biLevel thresh="75000"/>
                    </a:blip>
                    <a:srcRect l="5832" t="27835" r="5077" b="19516"/>
                    <a:stretch/>
                  </pic:blipFill>
                  <pic:spPr bwMode="auto">
                    <a:xfrm>
                      <a:off x="0" y="0"/>
                      <a:ext cx="5493385"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497FE6" w:rsidRPr="000E5369">
        <w:rPr>
          <w:rFonts w:ascii="Centaur" w:hAnsi="Centaur"/>
          <w:sz w:val="28"/>
          <w:szCs w:val="28"/>
        </w:rPr>
        <w:t>The calculation results of the goodness of fit generated by the structural modification model of the SEM are illustrated in Table 2 as follows:</w:t>
      </w:r>
    </w:p>
    <w:p w:rsidR="00497FE6" w:rsidRPr="00497FE6" w:rsidRDefault="00497FE6" w:rsidP="00497FE6">
      <w:pPr>
        <w:spacing w:before="0" w:line="240" w:lineRule="auto"/>
        <w:jc w:val="both"/>
        <w:rPr>
          <w:rFonts w:ascii="Centaur" w:hAnsi="Centaur"/>
          <w:sz w:val="28"/>
          <w:szCs w:val="28"/>
        </w:rPr>
      </w:pPr>
    </w:p>
    <w:p w:rsidR="007F35E9" w:rsidRPr="000E5369" w:rsidRDefault="00497FE6" w:rsidP="007F35E9">
      <w:pPr>
        <w:spacing w:before="0" w:line="240" w:lineRule="auto"/>
        <w:ind w:left="0" w:firstLine="900"/>
        <w:jc w:val="both"/>
        <w:rPr>
          <w:rFonts w:ascii="Centaur" w:hAnsi="Centaur"/>
          <w:sz w:val="28"/>
          <w:szCs w:val="28"/>
          <w:lang w:val="en-US"/>
        </w:rPr>
      </w:pPr>
      <w:r w:rsidRPr="000E5369">
        <w:rPr>
          <w:rFonts w:ascii="Centaur" w:hAnsi="Centaur"/>
          <w:sz w:val="28"/>
          <w:szCs w:val="28"/>
        </w:rPr>
        <w:t>The results of the structural model suitability test after modification indicate that all the model suitability criteria have met the requirements (marginal fit or good fit), further affirming that the SEM model estimation is good and acceptable.</w:t>
      </w:r>
    </w:p>
    <w:p w:rsidR="007F35E9" w:rsidRDefault="007F35E9" w:rsidP="007F35E9">
      <w:pPr>
        <w:spacing w:before="0" w:line="240" w:lineRule="auto"/>
        <w:ind w:left="0" w:hanging="3"/>
        <w:jc w:val="both"/>
        <w:rPr>
          <w:rFonts w:ascii="Centaur" w:hAnsi="Centaur"/>
          <w:sz w:val="28"/>
          <w:szCs w:val="28"/>
          <w:lang w:val="en-US"/>
        </w:rPr>
      </w:pPr>
    </w:p>
    <w:p w:rsidR="00497FE6" w:rsidRPr="007F35E9" w:rsidRDefault="00497FE6" w:rsidP="007F35E9">
      <w:pPr>
        <w:spacing w:before="0" w:line="240" w:lineRule="auto"/>
        <w:ind w:left="0" w:hanging="3"/>
        <w:jc w:val="both"/>
        <w:rPr>
          <w:rFonts w:ascii="Centaur" w:hAnsi="Centaur"/>
          <w:sz w:val="28"/>
          <w:szCs w:val="28"/>
        </w:rPr>
      </w:pPr>
      <w:r w:rsidRPr="007F35E9">
        <w:rPr>
          <w:rFonts w:ascii="Centaur" w:hAnsi="Centaur"/>
          <w:b/>
          <w:iCs/>
          <w:noProof/>
          <w:sz w:val="28"/>
          <w:szCs w:val="28"/>
        </w:rPr>
        <w:t>Hypothesis Testing</w:t>
      </w:r>
    </w:p>
    <w:p w:rsidR="00497FE6" w:rsidRPr="007F35E9" w:rsidRDefault="00497FE6" w:rsidP="007F35E9">
      <w:pPr>
        <w:pStyle w:val="ListParagraph"/>
        <w:spacing w:before="0" w:line="240" w:lineRule="auto"/>
        <w:ind w:left="0" w:firstLine="90"/>
        <w:jc w:val="center"/>
        <w:rPr>
          <w:rFonts w:ascii="Centaur" w:hAnsi="Centaur"/>
          <w:iCs/>
          <w:noProof/>
          <w:sz w:val="28"/>
          <w:szCs w:val="28"/>
        </w:rPr>
      </w:pPr>
      <w:r w:rsidRPr="00497FE6">
        <w:rPr>
          <w:rFonts w:ascii="Centaur" w:hAnsi="Centaur"/>
          <w:b/>
          <w:iCs/>
          <w:noProof/>
          <w:sz w:val="28"/>
          <w:szCs w:val="28"/>
          <w:lang w:val="id-ID"/>
        </w:rPr>
        <w:t>Tabl</w:t>
      </w:r>
      <w:r w:rsidRPr="00497FE6">
        <w:rPr>
          <w:rFonts w:ascii="Centaur" w:hAnsi="Centaur"/>
          <w:b/>
          <w:iCs/>
          <w:noProof/>
          <w:sz w:val="28"/>
          <w:szCs w:val="28"/>
        </w:rPr>
        <w:t>e</w:t>
      </w:r>
      <w:r w:rsidR="007F35E9">
        <w:rPr>
          <w:rFonts w:ascii="Centaur" w:hAnsi="Centaur"/>
          <w:b/>
          <w:iCs/>
          <w:noProof/>
          <w:sz w:val="28"/>
          <w:szCs w:val="28"/>
        </w:rPr>
        <w:t xml:space="preserve"> </w:t>
      </w:r>
      <w:r w:rsidRPr="00497FE6">
        <w:rPr>
          <w:rFonts w:ascii="Centaur" w:hAnsi="Centaur"/>
          <w:b/>
          <w:iCs/>
          <w:noProof/>
          <w:sz w:val="28"/>
          <w:szCs w:val="28"/>
        </w:rPr>
        <w:t>3</w:t>
      </w:r>
      <w:r w:rsidR="007F35E9">
        <w:rPr>
          <w:rFonts w:ascii="Centaur" w:hAnsi="Centaur"/>
          <w:b/>
          <w:iCs/>
          <w:noProof/>
          <w:sz w:val="28"/>
          <w:szCs w:val="28"/>
        </w:rPr>
        <w:t xml:space="preserve">. </w:t>
      </w:r>
      <w:r w:rsidRPr="007F35E9">
        <w:rPr>
          <w:rFonts w:ascii="Centaur" w:hAnsi="Centaur"/>
          <w:iCs/>
          <w:noProof/>
          <w:sz w:val="28"/>
          <w:szCs w:val="28"/>
          <w:lang w:val="id-ID"/>
        </w:rPr>
        <w:t>Testing Structural Relationships Between Variables</w:t>
      </w:r>
    </w:p>
    <w:tbl>
      <w:tblPr>
        <w:tblW w:w="8899" w:type="dxa"/>
        <w:tblLayout w:type="fixed"/>
        <w:tblLook w:val="04A0"/>
      </w:tblPr>
      <w:tblGrid>
        <w:gridCol w:w="603"/>
        <w:gridCol w:w="1773"/>
        <w:gridCol w:w="284"/>
        <w:gridCol w:w="2061"/>
        <w:gridCol w:w="982"/>
        <w:gridCol w:w="784"/>
        <w:gridCol w:w="851"/>
        <w:gridCol w:w="1561"/>
      </w:tblGrid>
      <w:tr w:rsidR="00497FE6" w:rsidRPr="00497FE6" w:rsidTr="007F35E9">
        <w:trPr>
          <w:trHeight w:val="300"/>
          <w:tblHeader/>
        </w:trPr>
        <w:tc>
          <w:tcPr>
            <w:tcW w:w="603"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val="id-ID"/>
              </w:rPr>
            </w:pPr>
            <w:r w:rsidRPr="00497FE6">
              <w:rPr>
                <w:rFonts w:ascii="Centaur" w:hAnsi="Centaur"/>
                <w:noProof/>
                <w:sz w:val="28"/>
                <w:szCs w:val="28"/>
              </w:rPr>
              <w:t>Hyp</w:t>
            </w:r>
          </w:p>
        </w:tc>
        <w:tc>
          <w:tcPr>
            <w:tcW w:w="4118" w:type="dxa"/>
            <w:gridSpan w:val="3"/>
            <w:tcBorders>
              <w:top w:val="single" w:sz="4" w:space="0" w:color="auto"/>
              <w:bottom w:val="single" w:sz="4" w:space="0" w:color="auto"/>
            </w:tcBorders>
            <w:vAlign w:val="center"/>
            <w:hideMark/>
          </w:tcPr>
          <w:p w:rsidR="00497FE6" w:rsidRPr="00497FE6" w:rsidRDefault="00497FE6" w:rsidP="007F35E9">
            <w:pPr>
              <w:pStyle w:val="NoSpacing"/>
              <w:jc w:val="center"/>
              <w:rPr>
                <w:rFonts w:ascii="Centaur" w:hAnsi="Centaur"/>
                <w:noProof/>
                <w:sz w:val="28"/>
                <w:szCs w:val="28"/>
                <w:lang w:val="id-ID"/>
              </w:rPr>
            </w:pPr>
            <w:r w:rsidRPr="00497FE6">
              <w:rPr>
                <w:rFonts w:ascii="Centaur" w:hAnsi="Centaur"/>
                <w:iCs/>
                <w:noProof/>
                <w:sz w:val="28"/>
                <w:szCs w:val="28"/>
                <w:lang w:val="id-ID"/>
              </w:rPr>
              <w:t>Structural Relationships</w:t>
            </w:r>
          </w:p>
        </w:tc>
        <w:tc>
          <w:tcPr>
            <w:tcW w:w="982"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i/>
                <w:iCs/>
                <w:noProof/>
                <w:sz w:val="28"/>
                <w:szCs w:val="28"/>
                <w:lang w:val="id-ID"/>
              </w:rPr>
            </w:pPr>
            <w:r w:rsidRPr="00497FE6">
              <w:rPr>
                <w:rFonts w:ascii="Centaur" w:hAnsi="Centaur"/>
                <w:i/>
                <w:iCs/>
                <w:noProof/>
                <w:sz w:val="28"/>
                <w:szCs w:val="28"/>
              </w:rPr>
              <w:t>Estimate</w:t>
            </w:r>
          </w:p>
        </w:tc>
        <w:tc>
          <w:tcPr>
            <w:tcW w:w="784"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val="id-ID"/>
              </w:rPr>
            </w:pPr>
            <w:r w:rsidRPr="00497FE6">
              <w:rPr>
                <w:rFonts w:ascii="Centaur" w:hAnsi="Centaur"/>
                <w:noProof/>
                <w:sz w:val="28"/>
                <w:szCs w:val="28"/>
              </w:rPr>
              <w:t>C.R.</w:t>
            </w:r>
          </w:p>
        </w:tc>
        <w:tc>
          <w:tcPr>
            <w:tcW w:w="851"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i/>
                <w:iCs/>
                <w:noProof/>
                <w:sz w:val="28"/>
                <w:szCs w:val="28"/>
              </w:rPr>
            </w:pPr>
            <w:r w:rsidRPr="00497FE6">
              <w:rPr>
                <w:rFonts w:ascii="Centaur" w:hAnsi="Centaur"/>
                <w:i/>
                <w:iCs/>
                <w:noProof/>
                <w:sz w:val="28"/>
                <w:szCs w:val="28"/>
              </w:rPr>
              <w:t>P</w:t>
            </w:r>
          </w:p>
          <w:p w:rsidR="00497FE6" w:rsidRPr="00497FE6" w:rsidRDefault="00497FE6" w:rsidP="00497FE6">
            <w:pPr>
              <w:pStyle w:val="NoSpacing"/>
              <w:jc w:val="center"/>
              <w:rPr>
                <w:rFonts w:ascii="Centaur" w:hAnsi="Centaur"/>
                <w:i/>
                <w:iCs/>
                <w:noProof/>
                <w:sz w:val="28"/>
                <w:szCs w:val="28"/>
                <w:lang w:val="id-ID"/>
              </w:rPr>
            </w:pPr>
            <w:r w:rsidRPr="00497FE6">
              <w:rPr>
                <w:rFonts w:ascii="Centaur" w:hAnsi="Centaur"/>
                <w:i/>
                <w:iCs/>
                <w:noProof/>
                <w:sz w:val="28"/>
                <w:szCs w:val="28"/>
              </w:rPr>
              <w:t>value</w:t>
            </w:r>
          </w:p>
        </w:tc>
        <w:tc>
          <w:tcPr>
            <w:tcW w:w="1561"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noProof/>
                <w:sz w:val="28"/>
                <w:szCs w:val="28"/>
              </w:rPr>
            </w:pPr>
            <w:r w:rsidRPr="00497FE6">
              <w:rPr>
                <w:rFonts w:ascii="Centaur" w:hAnsi="Centaur"/>
                <w:noProof/>
                <w:sz w:val="28"/>
                <w:szCs w:val="28"/>
              </w:rPr>
              <w:t>Description</w:t>
            </w:r>
          </w:p>
        </w:tc>
      </w:tr>
      <w:tr w:rsidR="00497FE6" w:rsidRPr="00497FE6" w:rsidTr="007F35E9">
        <w:trPr>
          <w:trHeight w:val="300"/>
        </w:trPr>
        <w:tc>
          <w:tcPr>
            <w:tcW w:w="603" w:type="dxa"/>
            <w:tcBorders>
              <w:top w:val="single" w:sz="4" w:space="0" w:color="auto"/>
            </w:tcBorders>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1</w:t>
            </w:r>
          </w:p>
        </w:tc>
        <w:tc>
          <w:tcPr>
            <w:tcW w:w="1773" w:type="dxa"/>
            <w:tcBorders>
              <w:top w:val="single" w:sz="4" w:space="0" w:color="auto"/>
            </w:tcBorders>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t>Competence (X</w:t>
            </w:r>
            <w:r w:rsidRPr="00497FE6">
              <w:rPr>
                <w:rFonts w:ascii="Centaur" w:hAnsi="Centaur"/>
                <w:noProof/>
                <w:sz w:val="28"/>
                <w:szCs w:val="28"/>
                <w:vertAlign w:val="subscript"/>
              </w:rPr>
              <w:t>1</w:t>
            </w:r>
            <w:r w:rsidRPr="00497FE6">
              <w:rPr>
                <w:rFonts w:ascii="Centaur" w:hAnsi="Centaur"/>
                <w:noProof/>
                <w:sz w:val="28"/>
                <w:szCs w:val="28"/>
              </w:rPr>
              <w:t>)</w:t>
            </w:r>
          </w:p>
        </w:tc>
        <w:tc>
          <w:tcPr>
            <w:tcW w:w="284" w:type="dxa"/>
            <w:tcBorders>
              <w:top w:val="single" w:sz="4" w:space="0" w:color="auto"/>
            </w:tcBorders>
            <w:noWrap/>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sym w:font="Wingdings" w:char="F0E0"/>
            </w:r>
          </w:p>
        </w:tc>
        <w:tc>
          <w:tcPr>
            <w:tcW w:w="2061" w:type="dxa"/>
            <w:tcBorders>
              <w:top w:val="single" w:sz="4" w:space="0" w:color="auto"/>
            </w:tcBorders>
            <w:vAlign w:val="center"/>
            <w:hideMark/>
          </w:tcPr>
          <w:p w:rsidR="00497FE6" w:rsidRPr="00497FE6" w:rsidRDefault="00497FE6" w:rsidP="007F35E9">
            <w:pPr>
              <w:pStyle w:val="NoSpacing"/>
              <w:jc w:val="center"/>
              <w:rPr>
                <w:rFonts w:ascii="Centaur" w:hAnsi="Centaur"/>
                <w:noProof/>
                <w:sz w:val="28"/>
                <w:szCs w:val="28"/>
                <w:lang w:val="id-ID"/>
              </w:rPr>
            </w:pPr>
            <w:r w:rsidRPr="00497FE6">
              <w:rPr>
                <w:rFonts w:ascii="Centaur" w:hAnsi="Centaur"/>
                <w:noProof/>
                <w:sz w:val="28"/>
                <w:szCs w:val="28"/>
              </w:rPr>
              <w:t>Entrepreneurship Orientation (Y</w:t>
            </w:r>
            <w:r w:rsidRPr="00497FE6">
              <w:rPr>
                <w:rFonts w:ascii="Centaur" w:hAnsi="Centaur"/>
                <w:noProof/>
                <w:sz w:val="28"/>
                <w:szCs w:val="28"/>
                <w:vertAlign w:val="subscript"/>
              </w:rPr>
              <w:t>1</w:t>
            </w:r>
            <w:r w:rsidRPr="00497FE6">
              <w:rPr>
                <w:rFonts w:ascii="Centaur" w:hAnsi="Centaur"/>
                <w:noProof/>
                <w:sz w:val="28"/>
                <w:szCs w:val="28"/>
              </w:rPr>
              <w:t>)</w:t>
            </w:r>
          </w:p>
        </w:tc>
        <w:tc>
          <w:tcPr>
            <w:tcW w:w="982" w:type="dxa"/>
            <w:tcBorders>
              <w:top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0.256</w:t>
            </w:r>
          </w:p>
        </w:tc>
        <w:tc>
          <w:tcPr>
            <w:tcW w:w="784" w:type="dxa"/>
            <w:tcBorders>
              <w:top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2.675</w:t>
            </w:r>
          </w:p>
        </w:tc>
        <w:tc>
          <w:tcPr>
            <w:tcW w:w="851" w:type="dxa"/>
            <w:tcBorders>
              <w:top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0.007</w:t>
            </w:r>
          </w:p>
        </w:tc>
        <w:tc>
          <w:tcPr>
            <w:tcW w:w="1561" w:type="dxa"/>
            <w:tcBorders>
              <w:top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drawing>
                <wp:inline distT="0" distB="0" distL="0" distR="0">
                  <wp:extent cx="622327" cy="191278"/>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biLevel thresh="50000"/>
                          </a:blip>
                          <a:srcRect l="45055" t="21083" r="36810" b="69002"/>
                          <a:stretch/>
                        </pic:blipFill>
                        <pic:spPr bwMode="auto">
                          <a:xfrm>
                            <a:off x="0" y="0"/>
                            <a:ext cx="657609" cy="202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497FE6" w:rsidRPr="00497FE6" w:rsidTr="007F35E9">
        <w:trPr>
          <w:trHeight w:val="300"/>
        </w:trPr>
        <w:tc>
          <w:tcPr>
            <w:tcW w:w="603"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2</w:t>
            </w:r>
          </w:p>
        </w:tc>
        <w:tc>
          <w:tcPr>
            <w:tcW w:w="1773" w:type="dxa"/>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t>Work motivation (X</w:t>
            </w:r>
            <w:r w:rsidRPr="00497FE6">
              <w:rPr>
                <w:rFonts w:ascii="Centaur" w:hAnsi="Centaur"/>
                <w:noProof/>
                <w:sz w:val="28"/>
                <w:szCs w:val="28"/>
                <w:vertAlign w:val="subscript"/>
              </w:rPr>
              <w:t>2</w:t>
            </w:r>
            <w:r w:rsidRPr="00497FE6">
              <w:rPr>
                <w:rFonts w:ascii="Centaur" w:hAnsi="Centaur"/>
                <w:noProof/>
                <w:sz w:val="28"/>
                <w:szCs w:val="28"/>
              </w:rPr>
              <w:t>)</w:t>
            </w:r>
          </w:p>
        </w:tc>
        <w:tc>
          <w:tcPr>
            <w:tcW w:w="284" w:type="dxa"/>
            <w:noWrap/>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sym w:font="Wingdings" w:char="F0E0"/>
            </w:r>
          </w:p>
        </w:tc>
        <w:tc>
          <w:tcPr>
            <w:tcW w:w="2061" w:type="dxa"/>
            <w:vAlign w:val="center"/>
            <w:hideMark/>
          </w:tcPr>
          <w:p w:rsidR="00497FE6" w:rsidRPr="00497FE6" w:rsidRDefault="00497FE6" w:rsidP="007F35E9">
            <w:pPr>
              <w:pStyle w:val="NoSpacing"/>
              <w:jc w:val="center"/>
              <w:rPr>
                <w:rFonts w:ascii="Centaur" w:hAnsi="Centaur"/>
                <w:noProof/>
                <w:sz w:val="28"/>
                <w:szCs w:val="28"/>
                <w:lang w:val="id-ID"/>
              </w:rPr>
            </w:pPr>
            <w:r w:rsidRPr="00497FE6">
              <w:rPr>
                <w:rFonts w:ascii="Centaur" w:hAnsi="Centaur"/>
                <w:noProof/>
                <w:sz w:val="28"/>
                <w:szCs w:val="28"/>
              </w:rPr>
              <w:t>Entrepreneurship Orientation (Y</w:t>
            </w:r>
            <w:r w:rsidRPr="00497FE6">
              <w:rPr>
                <w:rFonts w:ascii="Centaur" w:hAnsi="Centaur"/>
                <w:noProof/>
                <w:sz w:val="28"/>
                <w:szCs w:val="28"/>
                <w:vertAlign w:val="subscript"/>
              </w:rPr>
              <w:t>1</w:t>
            </w:r>
            <w:r w:rsidRPr="00497FE6">
              <w:rPr>
                <w:rFonts w:ascii="Centaur" w:hAnsi="Centaur"/>
                <w:noProof/>
                <w:sz w:val="28"/>
                <w:szCs w:val="28"/>
              </w:rPr>
              <w:t>)</w:t>
            </w:r>
          </w:p>
        </w:tc>
        <w:tc>
          <w:tcPr>
            <w:tcW w:w="982"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0.268</w:t>
            </w:r>
          </w:p>
        </w:tc>
        <w:tc>
          <w:tcPr>
            <w:tcW w:w="784"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2.755</w:t>
            </w:r>
          </w:p>
        </w:tc>
        <w:tc>
          <w:tcPr>
            <w:tcW w:w="851"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0.006</w:t>
            </w:r>
          </w:p>
        </w:tc>
        <w:tc>
          <w:tcPr>
            <w:tcW w:w="1561"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drawing>
                <wp:inline distT="0" distB="0" distL="0" distR="0">
                  <wp:extent cx="622327" cy="191278"/>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biLevel thresh="50000"/>
                          </a:blip>
                          <a:srcRect l="45055" t="21083" r="36810" b="69002"/>
                          <a:stretch/>
                        </pic:blipFill>
                        <pic:spPr bwMode="auto">
                          <a:xfrm>
                            <a:off x="0" y="0"/>
                            <a:ext cx="657609" cy="202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497FE6" w:rsidRPr="00497FE6" w:rsidTr="007F35E9">
        <w:trPr>
          <w:trHeight w:val="300"/>
        </w:trPr>
        <w:tc>
          <w:tcPr>
            <w:tcW w:w="603"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3</w:t>
            </w:r>
          </w:p>
        </w:tc>
        <w:tc>
          <w:tcPr>
            <w:tcW w:w="1773" w:type="dxa"/>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t>Competence (X</w:t>
            </w:r>
            <w:r w:rsidRPr="00497FE6">
              <w:rPr>
                <w:rFonts w:ascii="Centaur" w:hAnsi="Centaur"/>
                <w:noProof/>
                <w:sz w:val="28"/>
                <w:szCs w:val="28"/>
                <w:vertAlign w:val="subscript"/>
              </w:rPr>
              <w:t>1</w:t>
            </w:r>
            <w:r w:rsidRPr="00497FE6">
              <w:rPr>
                <w:rFonts w:ascii="Centaur" w:hAnsi="Centaur"/>
                <w:noProof/>
                <w:sz w:val="28"/>
                <w:szCs w:val="28"/>
              </w:rPr>
              <w:t>)</w:t>
            </w:r>
          </w:p>
        </w:tc>
        <w:tc>
          <w:tcPr>
            <w:tcW w:w="284" w:type="dxa"/>
            <w:noWrap/>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sym w:font="Wingdings" w:char="F0E0"/>
            </w:r>
          </w:p>
        </w:tc>
        <w:tc>
          <w:tcPr>
            <w:tcW w:w="2061" w:type="dxa"/>
            <w:vAlign w:val="center"/>
            <w:hideMark/>
          </w:tcPr>
          <w:p w:rsidR="00497FE6" w:rsidRPr="00497FE6" w:rsidRDefault="00497FE6" w:rsidP="007F35E9">
            <w:pPr>
              <w:pStyle w:val="NoSpacing"/>
              <w:jc w:val="center"/>
              <w:rPr>
                <w:rFonts w:ascii="Centaur" w:hAnsi="Centaur"/>
                <w:noProof/>
                <w:sz w:val="28"/>
                <w:szCs w:val="28"/>
              </w:rPr>
            </w:pPr>
            <w:r w:rsidRPr="00497FE6">
              <w:rPr>
                <w:rFonts w:ascii="Centaur" w:hAnsi="Centaur"/>
                <w:noProof/>
                <w:sz w:val="28"/>
                <w:szCs w:val="28"/>
              </w:rPr>
              <w:t>Business Performance (Y</w:t>
            </w:r>
            <w:r w:rsidRPr="00497FE6">
              <w:rPr>
                <w:rFonts w:ascii="Centaur" w:hAnsi="Centaur"/>
                <w:noProof/>
                <w:sz w:val="28"/>
                <w:szCs w:val="28"/>
                <w:vertAlign w:val="subscript"/>
              </w:rPr>
              <w:t>2</w:t>
            </w:r>
            <w:r w:rsidRPr="00497FE6">
              <w:rPr>
                <w:rFonts w:ascii="Centaur" w:hAnsi="Centaur"/>
                <w:noProof/>
                <w:sz w:val="28"/>
                <w:szCs w:val="28"/>
              </w:rPr>
              <w:t>)</w:t>
            </w:r>
          </w:p>
        </w:tc>
        <w:tc>
          <w:tcPr>
            <w:tcW w:w="982"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0.290</w:t>
            </w:r>
          </w:p>
        </w:tc>
        <w:tc>
          <w:tcPr>
            <w:tcW w:w="784"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3.164</w:t>
            </w:r>
          </w:p>
        </w:tc>
        <w:tc>
          <w:tcPr>
            <w:tcW w:w="851"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0.002</w:t>
            </w:r>
          </w:p>
        </w:tc>
        <w:tc>
          <w:tcPr>
            <w:tcW w:w="1561"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drawing>
                <wp:inline distT="0" distB="0" distL="0" distR="0">
                  <wp:extent cx="622327" cy="191278"/>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biLevel thresh="50000"/>
                          </a:blip>
                          <a:srcRect l="45055" t="21083" r="36810" b="69002"/>
                          <a:stretch/>
                        </pic:blipFill>
                        <pic:spPr bwMode="auto">
                          <a:xfrm>
                            <a:off x="0" y="0"/>
                            <a:ext cx="657609" cy="202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497FE6" w:rsidRPr="00497FE6" w:rsidTr="007F35E9">
        <w:trPr>
          <w:trHeight w:val="300"/>
        </w:trPr>
        <w:tc>
          <w:tcPr>
            <w:tcW w:w="603"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4</w:t>
            </w:r>
          </w:p>
        </w:tc>
        <w:tc>
          <w:tcPr>
            <w:tcW w:w="1773" w:type="dxa"/>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t>Work motivation (X</w:t>
            </w:r>
            <w:r w:rsidRPr="00497FE6">
              <w:rPr>
                <w:rFonts w:ascii="Centaur" w:hAnsi="Centaur"/>
                <w:noProof/>
                <w:sz w:val="28"/>
                <w:szCs w:val="28"/>
                <w:vertAlign w:val="subscript"/>
              </w:rPr>
              <w:t>2</w:t>
            </w:r>
            <w:r w:rsidRPr="00497FE6">
              <w:rPr>
                <w:rFonts w:ascii="Centaur" w:hAnsi="Centaur"/>
                <w:noProof/>
                <w:sz w:val="28"/>
                <w:szCs w:val="28"/>
              </w:rPr>
              <w:t>)</w:t>
            </w:r>
          </w:p>
        </w:tc>
        <w:tc>
          <w:tcPr>
            <w:tcW w:w="284" w:type="dxa"/>
            <w:noWrap/>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sym w:font="Wingdings" w:char="F0E0"/>
            </w:r>
          </w:p>
        </w:tc>
        <w:tc>
          <w:tcPr>
            <w:tcW w:w="2061" w:type="dxa"/>
            <w:vAlign w:val="center"/>
            <w:hideMark/>
          </w:tcPr>
          <w:p w:rsidR="00497FE6" w:rsidRPr="00497FE6" w:rsidRDefault="00497FE6" w:rsidP="007F35E9">
            <w:pPr>
              <w:pStyle w:val="NoSpacing"/>
              <w:jc w:val="center"/>
              <w:rPr>
                <w:rFonts w:ascii="Centaur" w:hAnsi="Centaur"/>
                <w:noProof/>
                <w:sz w:val="28"/>
                <w:szCs w:val="28"/>
              </w:rPr>
            </w:pPr>
            <w:r w:rsidRPr="00497FE6">
              <w:rPr>
                <w:rFonts w:ascii="Centaur" w:hAnsi="Centaur"/>
                <w:noProof/>
                <w:sz w:val="28"/>
                <w:szCs w:val="28"/>
              </w:rPr>
              <w:t>Business Performance (Y</w:t>
            </w:r>
            <w:r w:rsidRPr="00497FE6">
              <w:rPr>
                <w:rFonts w:ascii="Centaur" w:hAnsi="Centaur"/>
                <w:noProof/>
                <w:sz w:val="28"/>
                <w:szCs w:val="28"/>
                <w:vertAlign w:val="subscript"/>
              </w:rPr>
              <w:t>2</w:t>
            </w:r>
            <w:r w:rsidRPr="00497FE6">
              <w:rPr>
                <w:rFonts w:ascii="Centaur" w:hAnsi="Centaur"/>
                <w:noProof/>
                <w:sz w:val="28"/>
                <w:szCs w:val="28"/>
              </w:rPr>
              <w:t>)</w:t>
            </w:r>
          </w:p>
        </w:tc>
        <w:tc>
          <w:tcPr>
            <w:tcW w:w="982"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0.295</w:t>
            </w:r>
          </w:p>
        </w:tc>
        <w:tc>
          <w:tcPr>
            <w:tcW w:w="784"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3.025</w:t>
            </w:r>
          </w:p>
        </w:tc>
        <w:tc>
          <w:tcPr>
            <w:tcW w:w="851"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0.002</w:t>
            </w:r>
          </w:p>
        </w:tc>
        <w:tc>
          <w:tcPr>
            <w:tcW w:w="1561"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drawing>
                <wp:inline distT="0" distB="0" distL="0" distR="0">
                  <wp:extent cx="622327" cy="191278"/>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biLevel thresh="50000"/>
                          </a:blip>
                          <a:srcRect l="45055" t="21083" r="36810" b="69002"/>
                          <a:stretch/>
                        </pic:blipFill>
                        <pic:spPr bwMode="auto">
                          <a:xfrm>
                            <a:off x="0" y="0"/>
                            <a:ext cx="657609" cy="202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r w:rsidR="00497FE6" w:rsidRPr="00497FE6" w:rsidTr="007F35E9">
        <w:trPr>
          <w:trHeight w:val="300"/>
        </w:trPr>
        <w:tc>
          <w:tcPr>
            <w:tcW w:w="603" w:type="dxa"/>
            <w:tcBorders>
              <w:bottom w:val="single" w:sz="4" w:space="0" w:color="auto"/>
            </w:tcBorders>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5</w:t>
            </w:r>
          </w:p>
        </w:tc>
        <w:tc>
          <w:tcPr>
            <w:tcW w:w="1773" w:type="dxa"/>
            <w:tcBorders>
              <w:bottom w:val="single" w:sz="4" w:space="0" w:color="auto"/>
            </w:tcBorders>
            <w:vAlign w:val="center"/>
            <w:hideMark/>
          </w:tcPr>
          <w:p w:rsidR="00497FE6" w:rsidRPr="00497FE6" w:rsidRDefault="00497FE6" w:rsidP="007F35E9">
            <w:pPr>
              <w:pStyle w:val="NoSpacing"/>
              <w:jc w:val="center"/>
              <w:rPr>
                <w:rFonts w:ascii="Centaur" w:hAnsi="Centaur"/>
                <w:noProof/>
                <w:sz w:val="28"/>
                <w:szCs w:val="28"/>
                <w:lang w:val="id-ID"/>
              </w:rPr>
            </w:pPr>
            <w:r w:rsidRPr="00497FE6">
              <w:rPr>
                <w:rFonts w:ascii="Centaur" w:hAnsi="Centaur"/>
                <w:noProof/>
                <w:sz w:val="28"/>
                <w:szCs w:val="28"/>
              </w:rPr>
              <w:t>Entrepreneurship Orientation (Y</w:t>
            </w:r>
            <w:r w:rsidRPr="00497FE6">
              <w:rPr>
                <w:rFonts w:ascii="Centaur" w:hAnsi="Centaur"/>
                <w:noProof/>
                <w:sz w:val="28"/>
                <w:szCs w:val="28"/>
                <w:vertAlign w:val="subscript"/>
              </w:rPr>
              <w:t>1</w:t>
            </w:r>
            <w:r w:rsidRPr="00497FE6">
              <w:rPr>
                <w:rFonts w:ascii="Centaur" w:hAnsi="Centaur"/>
                <w:noProof/>
                <w:sz w:val="28"/>
                <w:szCs w:val="28"/>
              </w:rPr>
              <w:t>)</w:t>
            </w:r>
          </w:p>
        </w:tc>
        <w:tc>
          <w:tcPr>
            <w:tcW w:w="284" w:type="dxa"/>
            <w:tcBorders>
              <w:bottom w:val="single" w:sz="4" w:space="0" w:color="auto"/>
            </w:tcBorders>
            <w:noWrap/>
            <w:vAlign w:val="center"/>
            <w:hideMark/>
          </w:tcPr>
          <w:p w:rsidR="00497FE6" w:rsidRPr="00497FE6" w:rsidRDefault="00497FE6" w:rsidP="007F35E9">
            <w:pPr>
              <w:spacing w:before="0" w:line="240" w:lineRule="auto"/>
              <w:ind w:left="0"/>
              <w:jc w:val="center"/>
              <w:rPr>
                <w:rFonts w:ascii="Centaur" w:hAnsi="Centaur"/>
                <w:noProof/>
                <w:sz w:val="28"/>
                <w:szCs w:val="28"/>
                <w:lang w:eastAsia="id-ID"/>
              </w:rPr>
            </w:pPr>
            <w:r w:rsidRPr="00497FE6">
              <w:rPr>
                <w:rFonts w:ascii="Centaur" w:hAnsi="Centaur"/>
                <w:noProof/>
                <w:sz w:val="28"/>
                <w:szCs w:val="28"/>
              </w:rPr>
              <w:sym w:font="Wingdings" w:char="F0E0"/>
            </w:r>
          </w:p>
        </w:tc>
        <w:tc>
          <w:tcPr>
            <w:tcW w:w="2061" w:type="dxa"/>
            <w:tcBorders>
              <w:bottom w:val="single" w:sz="4" w:space="0" w:color="auto"/>
            </w:tcBorders>
            <w:vAlign w:val="center"/>
            <w:hideMark/>
          </w:tcPr>
          <w:p w:rsidR="00497FE6" w:rsidRPr="00497FE6" w:rsidRDefault="00497FE6" w:rsidP="007F35E9">
            <w:pPr>
              <w:pStyle w:val="NoSpacing"/>
              <w:jc w:val="center"/>
              <w:rPr>
                <w:rFonts w:ascii="Centaur" w:hAnsi="Centaur"/>
                <w:noProof/>
                <w:sz w:val="28"/>
                <w:szCs w:val="28"/>
              </w:rPr>
            </w:pPr>
            <w:r w:rsidRPr="00497FE6">
              <w:rPr>
                <w:rFonts w:ascii="Centaur" w:hAnsi="Centaur"/>
                <w:noProof/>
                <w:sz w:val="28"/>
                <w:szCs w:val="28"/>
              </w:rPr>
              <w:t>Business Performance (Y</w:t>
            </w:r>
            <w:r w:rsidRPr="00497FE6">
              <w:rPr>
                <w:rFonts w:ascii="Centaur" w:hAnsi="Centaur"/>
                <w:noProof/>
                <w:sz w:val="28"/>
                <w:szCs w:val="28"/>
                <w:vertAlign w:val="subscript"/>
              </w:rPr>
              <w:t>2</w:t>
            </w:r>
            <w:r w:rsidRPr="00497FE6">
              <w:rPr>
                <w:rFonts w:ascii="Centaur" w:hAnsi="Centaur"/>
                <w:noProof/>
                <w:sz w:val="28"/>
                <w:szCs w:val="28"/>
              </w:rPr>
              <w:t>)</w:t>
            </w:r>
          </w:p>
        </w:tc>
        <w:tc>
          <w:tcPr>
            <w:tcW w:w="982" w:type="dxa"/>
            <w:tcBorders>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0.282</w:t>
            </w:r>
          </w:p>
        </w:tc>
        <w:tc>
          <w:tcPr>
            <w:tcW w:w="784" w:type="dxa"/>
            <w:tcBorders>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2.706</w:t>
            </w:r>
          </w:p>
        </w:tc>
        <w:tc>
          <w:tcPr>
            <w:tcW w:w="851" w:type="dxa"/>
            <w:tcBorders>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0.007</w:t>
            </w:r>
          </w:p>
        </w:tc>
        <w:tc>
          <w:tcPr>
            <w:tcW w:w="1561" w:type="dxa"/>
            <w:tcBorders>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drawing>
                <wp:inline distT="0" distB="0" distL="0" distR="0">
                  <wp:extent cx="622327" cy="191278"/>
                  <wp:effectExtent l="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biLevel thresh="50000"/>
                          </a:blip>
                          <a:srcRect l="45055" t="21083" r="36810" b="69002"/>
                          <a:stretch/>
                        </pic:blipFill>
                        <pic:spPr bwMode="auto">
                          <a:xfrm>
                            <a:off x="0" y="0"/>
                            <a:ext cx="657609" cy="202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tc>
      </w:tr>
    </w:tbl>
    <w:p w:rsidR="00497FE6" w:rsidRPr="00497FE6" w:rsidRDefault="00497FE6" w:rsidP="00497FE6">
      <w:pPr>
        <w:pStyle w:val="ListParagraph"/>
        <w:spacing w:before="0" w:line="240" w:lineRule="auto"/>
        <w:ind w:left="360"/>
        <w:rPr>
          <w:rFonts w:ascii="Centaur" w:hAnsi="Centaur"/>
          <w:sz w:val="28"/>
          <w:szCs w:val="28"/>
        </w:rPr>
      </w:pPr>
    </w:p>
    <w:p w:rsidR="00497FE6" w:rsidRPr="000E5369" w:rsidRDefault="00497FE6" w:rsidP="00497FE6">
      <w:pPr>
        <w:pStyle w:val="ListParagraph"/>
        <w:spacing w:before="0" w:line="240" w:lineRule="auto"/>
        <w:ind w:left="499"/>
        <w:rPr>
          <w:rFonts w:ascii="Centaur" w:hAnsi="Centaur"/>
          <w:sz w:val="28"/>
          <w:szCs w:val="28"/>
        </w:rPr>
      </w:pPr>
      <w:r w:rsidRPr="000E5369">
        <w:rPr>
          <w:rFonts w:ascii="Centaur" w:hAnsi="Centaur"/>
          <w:sz w:val="28"/>
          <w:szCs w:val="28"/>
        </w:rPr>
        <w:t>Hypothesis analysis results:</w:t>
      </w:r>
    </w:p>
    <w:p w:rsidR="00497FE6" w:rsidRPr="000E5369" w:rsidRDefault="00497FE6" w:rsidP="00497FE6">
      <w:pPr>
        <w:pStyle w:val="ListParagraph"/>
        <w:widowControl/>
        <w:numPr>
          <w:ilvl w:val="0"/>
          <w:numId w:val="16"/>
        </w:numPr>
        <w:autoSpaceDE/>
        <w:autoSpaceDN/>
        <w:spacing w:before="0" w:line="240" w:lineRule="auto"/>
        <w:ind w:left="499" w:hanging="357"/>
        <w:contextualSpacing/>
        <w:rPr>
          <w:rFonts w:ascii="Centaur" w:hAnsi="Centaur"/>
          <w:sz w:val="28"/>
          <w:szCs w:val="28"/>
        </w:rPr>
      </w:pPr>
      <w:r w:rsidRPr="000E5369">
        <w:rPr>
          <w:rFonts w:ascii="Centaur" w:hAnsi="Centaur"/>
          <w:sz w:val="28"/>
          <w:szCs w:val="28"/>
        </w:rPr>
        <w:t xml:space="preserve">The results of testing the coefficient of the influence of competence on </w:t>
      </w:r>
      <w:r w:rsidRPr="000E5369">
        <w:rPr>
          <w:rFonts w:ascii="Centaur" w:hAnsi="Centaur"/>
          <w:noProof/>
          <w:sz w:val="28"/>
          <w:szCs w:val="28"/>
        </w:rPr>
        <w:t>Entrepreneurship Orientation</w:t>
      </w:r>
      <w:r w:rsidRPr="000E5369">
        <w:rPr>
          <w:rFonts w:ascii="Centaur" w:hAnsi="Centaur"/>
          <w:sz w:val="28"/>
          <w:szCs w:val="28"/>
        </w:rPr>
        <w:t xml:space="preserve"> indicate a significant effect, confirming that </w:t>
      </w:r>
      <w:r w:rsidRPr="000E5369">
        <w:rPr>
          <w:rFonts w:ascii="Centaur" w:hAnsi="Centaur"/>
          <w:sz w:val="28"/>
          <w:szCs w:val="28"/>
        </w:rPr>
        <w:lastRenderedPageBreak/>
        <w:t>the first hypothesiswhich statesthat competence has a significanteffecton entrepreneurial orientation (H1 is accepted).</w:t>
      </w:r>
    </w:p>
    <w:p w:rsidR="00497FE6" w:rsidRPr="000E5369" w:rsidRDefault="00497FE6" w:rsidP="00497FE6">
      <w:pPr>
        <w:pStyle w:val="ListParagraph"/>
        <w:widowControl/>
        <w:numPr>
          <w:ilvl w:val="0"/>
          <w:numId w:val="16"/>
        </w:numPr>
        <w:autoSpaceDE/>
        <w:autoSpaceDN/>
        <w:spacing w:before="0" w:line="240" w:lineRule="auto"/>
        <w:ind w:left="499" w:hanging="357"/>
        <w:contextualSpacing/>
        <w:rPr>
          <w:rFonts w:ascii="Centaur" w:hAnsi="Centaur"/>
          <w:sz w:val="28"/>
          <w:szCs w:val="28"/>
        </w:rPr>
      </w:pPr>
      <w:r w:rsidRPr="000E5369">
        <w:rPr>
          <w:rFonts w:ascii="Centaur" w:hAnsi="Centaur"/>
          <w:sz w:val="28"/>
          <w:szCs w:val="28"/>
        </w:rPr>
        <w:t xml:space="preserve">The results of testing the coefficient of the effect of work motivation on </w:t>
      </w:r>
      <w:r w:rsidRPr="000E5369">
        <w:rPr>
          <w:rFonts w:ascii="Centaur" w:hAnsi="Centaur"/>
          <w:noProof/>
          <w:sz w:val="28"/>
          <w:szCs w:val="28"/>
        </w:rPr>
        <w:t>Entrepreneurship Orientation</w:t>
      </w:r>
      <w:r w:rsidRPr="000E5369">
        <w:rPr>
          <w:rFonts w:ascii="Centaur" w:hAnsi="Centaur"/>
          <w:sz w:val="28"/>
          <w:szCs w:val="28"/>
        </w:rPr>
        <w:t xml:space="preserve"> indicate a significant effect, denoting that the second hypothesis which states work motivation has a significant effect on entrepreneurial orientation (H2 is accepted).</w:t>
      </w:r>
    </w:p>
    <w:p w:rsidR="00497FE6" w:rsidRPr="000E5369" w:rsidRDefault="00497FE6" w:rsidP="00497FE6">
      <w:pPr>
        <w:pStyle w:val="ListParagraph"/>
        <w:widowControl/>
        <w:numPr>
          <w:ilvl w:val="0"/>
          <w:numId w:val="16"/>
        </w:numPr>
        <w:autoSpaceDE/>
        <w:autoSpaceDN/>
        <w:spacing w:before="0" w:line="240" w:lineRule="auto"/>
        <w:ind w:left="499" w:hanging="357"/>
        <w:contextualSpacing/>
        <w:rPr>
          <w:rFonts w:ascii="Centaur" w:hAnsi="Centaur"/>
          <w:sz w:val="28"/>
          <w:szCs w:val="28"/>
        </w:rPr>
      </w:pPr>
      <w:r w:rsidRPr="000E5369">
        <w:rPr>
          <w:rFonts w:ascii="Centaur" w:hAnsi="Centaur"/>
          <w:sz w:val="28"/>
          <w:szCs w:val="28"/>
        </w:rPr>
        <w:t>The results of testing the coefficientof the influence of competence on business performance indicate a significant effect, signifying that the third hypothesis which states that competence has a significant effect on business performance (H3 is accepted).</w:t>
      </w:r>
    </w:p>
    <w:p w:rsidR="00497FE6" w:rsidRPr="000E5369" w:rsidRDefault="00497FE6" w:rsidP="00497FE6">
      <w:pPr>
        <w:pStyle w:val="ListParagraph"/>
        <w:widowControl/>
        <w:numPr>
          <w:ilvl w:val="0"/>
          <w:numId w:val="16"/>
        </w:numPr>
        <w:autoSpaceDE/>
        <w:autoSpaceDN/>
        <w:spacing w:before="0" w:line="240" w:lineRule="auto"/>
        <w:ind w:left="499" w:hanging="357"/>
        <w:contextualSpacing/>
        <w:rPr>
          <w:rFonts w:ascii="Centaur" w:hAnsi="Centaur"/>
          <w:sz w:val="28"/>
          <w:szCs w:val="28"/>
        </w:rPr>
      </w:pPr>
      <w:r w:rsidRPr="000E5369">
        <w:rPr>
          <w:rFonts w:ascii="Centaur" w:hAnsi="Centaur"/>
          <w:sz w:val="28"/>
          <w:szCs w:val="28"/>
        </w:rPr>
        <w:t>The results of testing the coefficient of the effect ofworkmotivationon business performancealso indicate a significant effect, confirming that the fourth hypothesis which states workmotivation has a significanteffect on business performance (H4 isaccepted).</w:t>
      </w:r>
    </w:p>
    <w:p w:rsidR="00497FE6" w:rsidRPr="000E5369" w:rsidRDefault="00497FE6" w:rsidP="00497FE6">
      <w:pPr>
        <w:pStyle w:val="ListParagraph"/>
        <w:widowControl/>
        <w:numPr>
          <w:ilvl w:val="0"/>
          <w:numId w:val="16"/>
        </w:numPr>
        <w:autoSpaceDE/>
        <w:autoSpaceDN/>
        <w:spacing w:before="0" w:line="240" w:lineRule="auto"/>
        <w:ind w:left="499" w:hanging="357"/>
        <w:contextualSpacing/>
        <w:rPr>
          <w:rFonts w:ascii="Centaur" w:hAnsi="Centaur"/>
          <w:sz w:val="28"/>
          <w:szCs w:val="28"/>
        </w:rPr>
      </w:pPr>
      <w:r w:rsidRPr="000E5369">
        <w:rPr>
          <w:rFonts w:ascii="Centaur" w:hAnsi="Centaur"/>
          <w:sz w:val="28"/>
          <w:szCs w:val="28"/>
        </w:rPr>
        <w:t xml:space="preserve">Theresults oftesting the coefficient of the influence of </w:t>
      </w:r>
      <w:r w:rsidRPr="000E5369">
        <w:rPr>
          <w:rFonts w:ascii="Centaur" w:hAnsi="Centaur"/>
          <w:noProof/>
          <w:sz w:val="28"/>
          <w:szCs w:val="28"/>
        </w:rPr>
        <w:t>EntrepreneurshipOrientation</w:t>
      </w:r>
      <w:r w:rsidRPr="000E5369">
        <w:rPr>
          <w:rFonts w:ascii="Centaur" w:hAnsi="Centaur"/>
          <w:sz w:val="28"/>
          <w:szCs w:val="28"/>
        </w:rPr>
        <w:t xml:space="preserve">on business performance also indicate a significant effect, meaning that the fifth hypothesis which states that </w:t>
      </w:r>
      <w:r w:rsidRPr="000E5369">
        <w:rPr>
          <w:rFonts w:ascii="Centaur" w:hAnsi="Centaur"/>
          <w:noProof/>
          <w:sz w:val="28"/>
          <w:szCs w:val="28"/>
        </w:rPr>
        <w:t>Entrepreneurship Orientation</w:t>
      </w:r>
      <w:r w:rsidRPr="000E5369">
        <w:rPr>
          <w:rFonts w:ascii="Centaur" w:hAnsi="Centaur"/>
          <w:sz w:val="28"/>
          <w:szCs w:val="28"/>
        </w:rPr>
        <w:t>has a significant effect on business performance (H5 is accepted).</w:t>
      </w:r>
    </w:p>
    <w:p w:rsidR="007F35E9" w:rsidRDefault="007F35E9" w:rsidP="00497FE6">
      <w:pPr>
        <w:pStyle w:val="ListParagraph"/>
        <w:spacing w:before="0" w:line="240" w:lineRule="auto"/>
        <w:ind w:left="499"/>
        <w:rPr>
          <w:rFonts w:ascii="Centaur" w:hAnsi="Centaur"/>
          <w:b/>
          <w:sz w:val="28"/>
          <w:szCs w:val="28"/>
        </w:rPr>
      </w:pPr>
    </w:p>
    <w:p w:rsidR="00497FE6" w:rsidRPr="007F35E9" w:rsidRDefault="007F35E9" w:rsidP="007F35E9">
      <w:pPr>
        <w:pStyle w:val="ListParagraph"/>
        <w:spacing w:before="0" w:line="240" w:lineRule="auto"/>
        <w:ind w:left="499"/>
        <w:jc w:val="center"/>
        <w:rPr>
          <w:rFonts w:ascii="Centaur" w:hAnsi="Centaur"/>
          <w:b/>
          <w:sz w:val="28"/>
          <w:szCs w:val="28"/>
        </w:rPr>
      </w:pPr>
      <w:r>
        <w:rPr>
          <w:rFonts w:ascii="Centaur" w:hAnsi="Centaur"/>
          <w:b/>
          <w:sz w:val="28"/>
          <w:szCs w:val="28"/>
        </w:rPr>
        <w:t xml:space="preserve">Table 4. </w:t>
      </w:r>
      <w:r w:rsidR="00497FE6" w:rsidRPr="007F35E9">
        <w:rPr>
          <w:rFonts w:ascii="Centaur" w:hAnsi="Centaur"/>
          <w:sz w:val="28"/>
          <w:szCs w:val="28"/>
        </w:rPr>
        <w:t>Testing the Effect of Moderator Variables</w:t>
      </w:r>
    </w:p>
    <w:tbl>
      <w:tblPr>
        <w:tblW w:w="7914" w:type="dxa"/>
        <w:jc w:val="center"/>
        <w:tblLook w:val="04A0"/>
      </w:tblPr>
      <w:tblGrid>
        <w:gridCol w:w="1323"/>
        <w:gridCol w:w="1543"/>
        <w:gridCol w:w="1239"/>
        <w:gridCol w:w="521"/>
        <w:gridCol w:w="1047"/>
        <w:gridCol w:w="783"/>
        <w:gridCol w:w="783"/>
        <w:gridCol w:w="1341"/>
      </w:tblGrid>
      <w:tr w:rsidR="00497FE6" w:rsidRPr="00497FE6" w:rsidTr="007F35E9">
        <w:trPr>
          <w:trHeight w:val="300"/>
          <w:tblHeader/>
          <w:jc w:val="center"/>
        </w:trPr>
        <w:tc>
          <w:tcPr>
            <w:tcW w:w="605"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b/>
                <w:noProof/>
                <w:sz w:val="28"/>
                <w:szCs w:val="28"/>
                <w:lang w:val="id-ID"/>
              </w:rPr>
            </w:pPr>
            <w:r w:rsidRPr="00497FE6">
              <w:rPr>
                <w:rFonts w:ascii="Centaur" w:hAnsi="Centaur"/>
                <w:b/>
                <w:noProof/>
                <w:sz w:val="28"/>
                <w:szCs w:val="28"/>
              </w:rPr>
              <w:t>Hyp.</w:t>
            </w:r>
          </w:p>
        </w:tc>
        <w:tc>
          <w:tcPr>
            <w:tcW w:w="2839" w:type="dxa"/>
            <w:gridSpan w:val="3"/>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b/>
                <w:noProof/>
                <w:sz w:val="28"/>
                <w:szCs w:val="28"/>
                <w:lang w:val="id-ID"/>
              </w:rPr>
            </w:pPr>
            <w:r w:rsidRPr="00497FE6">
              <w:rPr>
                <w:rFonts w:ascii="Centaur" w:hAnsi="Centaur"/>
                <w:iCs/>
                <w:noProof/>
                <w:sz w:val="28"/>
                <w:szCs w:val="28"/>
                <w:lang w:val="id-ID"/>
              </w:rPr>
              <w:t>Structural Relationships</w:t>
            </w:r>
          </w:p>
        </w:tc>
        <w:tc>
          <w:tcPr>
            <w:tcW w:w="986"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b/>
                <w:i/>
                <w:iCs/>
                <w:noProof/>
                <w:sz w:val="28"/>
                <w:szCs w:val="28"/>
                <w:lang w:val="id-ID"/>
              </w:rPr>
            </w:pPr>
            <w:r w:rsidRPr="00497FE6">
              <w:rPr>
                <w:rFonts w:ascii="Centaur" w:hAnsi="Centaur"/>
                <w:b/>
                <w:i/>
                <w:iCs/>
                <w:noProof/>
                <w:sz w:val="28"/>
                <w:szCs w:val="28"/>
              </w:rPr>
              <w:t>Estimate</w:t>
            </w:r>
          </w:p>
        </w:tc>
        <w:tc>
          <w:tcPr>
            <w:tcW w:w="723"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b/>
                <w:noProof/>
                <w:sz w:val="28"/>
                <w:szCs w:val="28"/>
                <w:lang w:val="id-ID"/>
              </w:rPr>
            </w:pPr>
            <w:r w:rsidRPr="00497FE6">
              <w:rPr>
                <w:rFonts w:ascii="Centaur" w:hAnsi="Centaur"/>
                <w:b/>
                <w:noProof/>
                <w:sz w:val="28"/>
                <w:szCs w:val="28"/>
              </w:rPr>
              <w:t>C.R.</w:t>
            </w:r>
          </w:p>
        </w:tc>
        <w:tc>
          <w:tcPr>
            <w:tcW w:w="711"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b/>
                <w:i/>
                <w:iCs/>
                <w:noProof/>
                <w:sz w:val="28"/>
                <w:szCs w:val="28"/>
              </w:rPr>
            </w:pPr>
            <w:r w:rsidRPr="00497FE6">
              <w:rPr>
                <w:rFonts w:ascii="Centaur" w:hAnsi="Centaur"/>
                <w:b/>
                <w:i/>
                <w:iCs/>
                <w:noProof/>
                <w:sz w:val="28"/>
                <w:szCs w:val="28"/>
              </w:rPr>
              <w:t>P</w:t>
            </w:r>
          </w:p>
          <w:p w:rsidR="00497FE6" w:rsidRPr="00497FE6" w:rsidRDefault="00497FE6" w:rsidP="00497FE6">
            <w:pPr>
              <w:pStyle w:val="NoSpacing"/>
              <w:jc w:val="center"/>
              <w:rPr>
                <w:rFonts w:ascii="Centaur" w:hAnsi="Centaur"/>
                <w:b/>
                <w:i/>
                <w:iCs/>
                <w:noProof/>
                <w:sz w:val="28"/>
                <w:szCs w:val="28"/>
                <w:lang w:val="id-ID"/>
              </w:rPr>
            </w:pPr>
            <w:r w:rsidRPr="00497FE6">
              <w:rPr>
                <w:rFonts w:ascii="Centaur" w:hAnsi="Centaur"/>
                <w:b/>
                <w:i/>
                <w:iCs/>
                <w:noProof/>
                <w:sz w:val="28"/>
                <w:szCs w:val="28"/>
              </w:rPr>
              <w:t>value</w:t>
            </w:r>
          </w:p>
        </w:tc>
        <w:tc>
          <w:tcPr>
            <w:tcW w:w="2050" w:type="dxa"/>
            <w:tcBorders>
              <w:top w:val="single" w:sz="4" w:space="0" w:color="auto"/>
              <w:bottom w:val="single" w:sz="4" w:space="0" w:color="auto"/>
            </w:tcBorders>
            <w:vAlign w:val="center"/>
            <w:hideMark/>
          </w:tcPr>
          <w:p w:rsidR="00497FE6" w:rsidRPr="00497FE6" w:rsidRDefault="00497FE6" w:rsidP="00497FE6">
            <w:pPr>
              <w:pStyle w:val="NoSpacing"/>
              <w:jc w:val="center"/>
              <w:rPr>
                <w:rFonts w:ascii="Centaur" w:hAnsi="Centaur"/>
                <w:b/>
                <w:noProof/>
                <w:sz w:val="28"/>
                <w:szCs w:val="28"/>
              </w:rPr>
            </w:pPr>
            <w:r w:rsidRPr="00497FE6">
              <w:rPr>
                <w:rFonts w:ascii="Centaur" w:hAnsi="Centaur"/>
                <w:noProof/>
                <w:sz w:val="28"/>
                <w:szCs w:val="28"/>
              </w:rPr>
              <w:t>Description</w:t>
            </w:r>
          </w:p>
        </w:tc>
      </w:tr>
      <w:tr w:rsidR="00497FE6" w:rsidRPr="00497FE6" w:rsidTr="007F35E9">
        <w:trPr>
          <w:trHeight w:val="300"/>
          <w:jc w:val="center"/>
        </w:trPr>
        <w:tc>
          <w:tcPr>
            <w:tcW w:w="605" w:type="dxa"/>
            <w:tcBorders>
              <w:top w:val="single" w:sz="4" w:space="0" w:color="auto"/>
            </w:tcBorders>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6</w:t>
            </w:r>
          </w:p>
        </w:tc>
        <w:tc>
          <w:tcPr>
            <w:tcW w:w="1233" w:type="dxa"/>
            <w:tcBorders>
              <w:top w:val="single" w:sz="4" w:space="0" w:color="auto"/>
            </w:tcBorders>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X1*Z</w:t>
            </w:r>
          </w:p>
        </w:tc>
        <w:tc>
          <w:tcPr>
            <w:tcW w:w="473" w:type="dxa"/>
            <w:tcBorders>
              <w:top w:val="single" w:sz="4" w:space="0" w:color="auto"/>
            </w:tcBorders>
            <w:noWrap/>
            <w:vAlign w:val="center"/>
            <w:hideMark/>
          </w:tcPr>
          <w:p w:rsidR="00497FE6" w:rsidRPr="00497FE6" w:rsidRDefault="00497FE6" w:rsidP="00497FE6">
            <w:pPr>
              <w:spacing w:before="0" w:line="240" w:lineRule="auto"/>
              <w:rPr>
                <w:rFonts w:ascii="Centaur" w:hAnsi="Centaur"/>
                <w:noProof/>
                <w:sz w:val="28"/>
                <w:szCs w:val="28"/>
                <w:lang w:eastAsia="id-ID"/>
              </w:rPr>
            </w:pPr>
            <w:r w:rsidRPr="00497FE6">
              <w:rPr>
                <w:rFonts w:ascii="Centaur" w:hAnsi="Centaur"/>
                <w:noProof/>
                <w:sz w:val="28"/>
                <w:szCs w:val="28"/>
              </w:rPr>
              <w:sym w:font="Wingdings" w:char="F0E0"/>
            </w:r>
          </w:p>
        </w:tc>
        <w:tc>
          <w:tcPr>
            <w:tcW w:w="1133" w:type="dxa"/>
            <w:tcBorders>
              <w:top w:val="single" w:sz="4" w:space="0" w:color="auto"/>
            </w:tcBorders>
            <w:vAlign w:val="center"/>
            <w:hideMark/>
          </w:tcPr>
          <w:p w:rsidR="00497FE6" w:rsidRPr="00497FE6" w:rsidRDefault="00497FE6" w:rsidP="00497FE6">
            <w:pPr>
              <w:pStyle w:val="NoSpacing"/>
              <w:jc w:val="center"/>
              <w:rPr>
                <w:rFonts w:ascii="Centaur" w:hAnsi="Centaur"/>
                <w:noProof/>
                <w:sz w:val="28"/>
                <w:szCs w:val="28"/>
              </w:rPr>
            </w:pPr>
            <w:r w:rsidRPr="00497FE6">
              <w:rPr>
                <w:rFonts w:ascii="Centaur" w:hAnsi="Centaur"/>
                <w:noProof/>
                <w:sz w:val="28"/>
                <w:szCs w:val="28"/>
              </w:rPr>
              <w:t>Y1</w:t>
            </w:r>
          </w:p>
        </w:tc>
        <w:tc>
          <w:tcPr>
            <w:tcW w:w="986" w:type="dxa"/>
            <w:tcBorders>
              <w:top w:val="single" w:sz="4" w:space="0" w:color="auto"/>
            </w:tcBorders>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0.229</w:t>
            </w:r>
          </w:p>
        </w:tc>
        <w:tc>
          <w:tcPr>
            <w:tcW w:w="723" w:type="dxa"/>
            <w:tcBorders>
              <w:top w:val="single" w:sz="4" w:space="0" w:color="auto"/>
            </w:tcBorders>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3.407</w:t>
            </w:r>
          </w:p>
        </w:tc>
        <w:tc>
          <w:tcPr>
            <w:tcW w:w="711" w:type="dxa"/>
            <w:tcBorders>
              <w:top w:val="single" w:sz="4" w:space="0" w:color="auto"/>
            </w:tcBorders>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0.001</w:t>
            </w:r>
          </w:p>
        </w:tc>
        <w:tc>
          <w:tcPr>
            <w:tcW w:w="2050" w:type="dxa"/>
            <w:tcBorders>
              <w:top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Significant</w:t>
            </w:r>
          </w:p>
        </w:tc>
      </w:tr>
      <w:tr w:rsidR="00497FE6" w:rsidRPr="00497FE6" w:rsidTr="007F35E9">
        <w:trPr>
          <w:trHeight w:val="300"/>
          <w:jc w:val="center"/>
        </w:trPr>
        <w:tc>
          <w:tcPr>
            <w:tcW w:w="605"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7</w:t>
            </w:r>
          </w:p>
        </w:tc>
        <w:tc>
          <w:tcPr>
            <w:tcW w:w="1233"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X2*Z</w:t>
            </w:r>
          </w:p>
        </w:tc>
        <w:tc>
          <w:tcPr>
            <w:tcW w:w="473" w:type="dxa"/>
            <w:noWrap/>
            <w:vAlign w:val="center"/>
            <w:hideMark/>
          </w:tcPr>
          <w:p w:rsidR="00497FE6" w:rsidRPr="00497FE6" w:rsidRDefault="00497FE6" w:rsidP="00497FE6">
            <w:pPr>
              <w:spacing w:before="0" w:line="240" w:lineRule="auto"/>
              <w:rPr>
                <w:rFonts w:ascii="Centaur" w:hAnsi="Centaur"/>
                <w:noProof/>
                <w:sz w:val="28"/>
                <w:szCs w:val="28"/>
                <w:lang w:eastAsia="id-ID"/>
              </w:rPr>
            </w:pPr>
            <w:r w:rsidRPr="00497FE6">
              <w:rPr>
                <w:rFonts w:ascii="Centaur" w:hAnsi="Centaur"/>
                <w:noProof/>
                <w:sz w:val="28"/>
                <w:szCs w:val="28"/>
              </w:rPr>
              <w:sym w:font="Wingdings" w:char="F0E0"/>
            </w:r>
          </w:p>
        </w:tc>
        <w:tc>
          <w:tcPr>
            <w:tcW w:w="1133" w:type="dxa"/>
            <w:vAlign w:val="center"/>
            <w:hideMark/>
          </w:tcPr>
          <w:p w:rsidR="00497FE6" w:rsidRPr="00497FE6" w:rsidRDefault="00497FE6" w:rsidP="00497FE6">
            <w:pPr>
              <w:pStyle w:val="NoSpacing"/>
              <w:jc w:val="center"/>
              <w:rPr>
                <w:rFonts w:ascii="Centaur" w:hAnsi="Centaur"/>
                <w:noProof/>
                <w:sz w:val="28"/>
                <w:szCs w:val="28"/>
              </w:rPr>
            </w:pPr>
            <w:r w:rsidRPr="00497FE6">
              <w:rPr>
                <w:rFonts w:ascii="Centaur" w:hAnsi="Centaur"/>
                <w:noProof/>
                <w:sz w:val="28"/>
                <w:szCs w:val="28"/>
              </w:rPr>
              <w:t>Y1</w:t>
            </w:r>
          </w:p>
        </w:tc>
        <w:tc>
          <w:tcPr>
            <w:tcW w:w="986"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0.029</w:t>
            </w:r>
          </w:p>
        </w:tc>
        <w:tc>
          <w:tcPr>
            <w:tcW w:w="723"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0.227</w:t>
            </w:r>
          </w:p>
        </w:tc>
        <w:tc>
          <w:tcPr>
            <w:tcW w:w="711"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0.821</w:t>
            </w:r>
          </w:p>
        </w:tc>
        <w:tc>
          <w:tcPr>
            <w:tcW w:w="2050"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not significant</w:t>
            </w:r>
          </w:p>
        </w:tc>
      </w:tr>
      <w:tr w:rsidR="00497FE6" w:rsidRPr="00497FE6" w:rsidTr="007F35E9">
        <w:trPr>
          <w:trHeight w:val="300"/>
          <w:jc w:val="center"/>
        </w:trPr>
        <w:tc>
          <w:tcPr>
            <w:tcW w:w="605"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8</w:t>
            </w:r>
          </w:p>
        </w:tc>
        <w:tc>
          <w:tcPr>
            <w:tcW w:w="1233"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X1*Z</w:t>
            </w:r>
          </w:p>
        </w:tc>
        <w:tc>
          <w:tcPr>
            <w:tcW w:w="473" w:type="dxa"/>
            <w:noWrap/>
            <w:vAlign w:val="center"/>
            <w:hideMark/>
          </w:tcPr>
          <w:p w:rsidR="00497FE6" w:rsidRPr="00497FE6" w:rsidRDefault="00497FE6" w:rsidP="00497FE6">
            <w:pPr>
              <w:spacing w:before="0" w:line="240" w:lineRule="auto"/>
              <w:rPr>
                <w:rFonts w:ascii="Centaur" w:hAnsi="Centaur"/>
                <w:noProof/>
                <w:sz w:val="28"/>
                <w:szCs w:val="28"/>
                <w:lang w:eastAsia="id-ID"/>
              </w:rPr>
            </w:pPr>
            <w:r w:rsidRPr="00497FE6">
              <w:rPr>
                <w:rFonts w:ascii="Centaur" w:hAnsi="Centaur"/>
                <w:noProof/>
                <w:sz w:val="28"/>
                <w:szCs w:val="28"/>
              </w:rPr>
              <w:sym w:font="Wingdings" w:char="F0E0"/>
            </w:r>
          </w:p>
        </w:tc>
        <w:tc>
          <w:tcPr>
            <w:tcW w:w="1133" w:type="dxa"/>
            <w:vAlign w:val="center"/>
            <w:hideMark/>
          </w:tcPr>
          <w:p w:rsidR="00497FE6" w:rsidRPr="00497FE6" w:rsidRDefault="00497FE6" w:rsidP="00497FE6">
            <w:pPr>
              <w:pStyle w:val="NoSpacing"/>
              <w:jc w:val="center"/>
              <w:rPr>
                <w:rFonts w:ascii="Centaur" w:hAnsi="Centaur"/>
                <w:noProof/>
                <w:sz w:val="28"/>
                <w:szCs w:val="28"/>
              </w:rPr>
            </w:pPr>
            <w:r w:rsidRPr="00497FE6">
              <w:rPr>
                <w:rFonts w:ascii="Centaur" w:hAnsi="Centaur"/>
                <w:noProof/>
                <w:sz w:val="28"/>
                <w:szCs w:val="28"/>
              </w:rPr>
              <w:t>Y2</w:t>
            </w:r>
          </w:p>
        </w:tc>
        <w:tc>
          <w:tcPr>
            <w:tcW w:w="986"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0.255</w:t>
            </w:r>
          </w:p>
        </w:tc>
        <w:tc>
          <w:tcPr>
            <w:tcW w:w="723"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2.071</w:t>
            </w:r>
          </w:p>
        </w:tc>
        <w:tc>
          <w:tcPr>
            <w:tcW w:w="711"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0.039</w:t>
            </w:r>
          </w:p>
        </w:tc>
        <w:tc>
          <w:tcPr>
            <w:tcW w:w="2050"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Significant</w:t>
            </w:r>
          </w:p>
        </w:tc>
      </w:tr>
      <w:tr w:rsidR="00497FE6" w:rsidRPr="00497FE6" w:rsidTr="007F35E9">
        <w:trPr>
          <w:trHeight w:val="300"/>
          <w:jc w:val="center"/>
        </w:trPr>
        <w:tc>
          <w:tcPr>
            <w:tcW w:w="605"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9</w:t>
            </w:r>
          </w:p>
        </w:tc>
        <w:tc>
          <w:tcPr>
            <w:tcW w:w="1233" w:type="dxa"/>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X2*Z</w:t>
            </w:r>
          </w:p>
        </w:tc>
        <w:tc>
          <w:tcPr>
            <w:tcW w:w="473" w:type="dxa"/>
            <w:noWrap/>
            <w:vAlign w:val="center"/>
            <w:hideMark/>
          </w:tcPr>
          <w:p w:rsidR="00497FE6" w:rsidRPr="00497FE6" w:rsidRDefault="00497FE6" w:rsidP="00497FE6">
            <w:pPr>
              <w:spacing w:before="0" w:line="240" w:lineRule="auto"/>
              <w:rPr>
                <w:rFonts w:ascii="Centaur" w:hAnsi="Centaur"/>
                <w:noProof/>
                <w:sz w:val="28"/>
                <w:szCs w:val="28"/>
                <w:lang w:eastAsia="id-ID"/>
              </w:rPr>
            </w:pPr>
            <w:r w:rsidRPr="00497FE6">
              <w:rPr>
                <w:rFonts w:ascii="Centaur" w:hAnsi="Centaur"/>
                <w:noProof/>
                <w:sz w:val="28"/>
                <w:szCs w:val="28"/>
              </w:rPr>
              <w:sym w:font="Wingdings" w:char="F0E0"/>
            </w:r>
          </w:p>
        </w:tc>
        <w:tc>
          <w:tcPr>
            <w:tcW w:w="1133" w:type="dxa"/>
            <w:vAlign w:val="center"/>
            <w:hideMark/>
          </w:tcPr>
          <w:p w:rsidR="00497FE6" w:rsidRPr="00497FE6" w:rsidRDefault="00497FE6" w:rsidP="00497FE6">
            <w:pPr>
              <w:pStyle w:val="NoSpacing"/>
              <w:jc w:val="center"/>
              <w:rPr>
                <w:rFonts w:ascii="Centaur" w:hAnsi="Centaur"/>
                <w:noProof/>
                <w:sz w:val="28"/>
                <w:szCs w:val="28"/>
              </w:rPr>
            </w:pPr>
            <w:r w:rsidRPr="00497FE6">
              <w:rPr>
                <w:rFonts w:ascii="Centaur" w:hAnsi="Centaur"/>
                <w:noProof/>
                <w:sz w:val="28"/>
                <w:szCs w:val="28"/>
              </w:rPr>
              <w:t>Y2</w:t>
            </w:r>
          </w:p>
        </w:tc>
        <w:tc>
          <w:tcPr>
            <w:tcW w:w="986"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0.164</w:t>
            </w:r>
          </w:p>
        </w:tc>
        <w:tc>
          <w:tcPr>
            <w:tcW w:w="723"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1.236</w:t>
            </w:r>
          </w:p>
        </w:tc>
        <w:tc>
          <w:tcPr>
            <w:tcW w:w="711" w:type="dxa"/>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0.217</w:t>
            </w:r>
          </w:p>
        </w:tc>
        <w:tc>
          <w:tcPr>
            <w:tcW w:w="2050" w:type="dxa"/>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not significant</w:t>
            </w:r>
          </w:p>
        </w:tc>
      </w:tr>
      <w:tr w:rsidR="00497FE6" w:rsidRPr="00497FE6" w:rsidTr="007F35E9">
        <w:trPr>
          <w:trHeight w:val="300"/>
          <w:jc w:val="center"/>
        </w:trPr>
        <w:tc>
          <w:tcPr>
            <w:tcW w:w="605" w:type="dxa"/>
            <w:tcBorders>
              <w:bottom w:val="single" w:sz="4" w:space="0" w:color="auto"/>
            </w:tcBorders>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H</w:t>
            </w:r>
            <w:r w:rsidRPr="00497FE6">
              <w:rPr>
                <w:rFonts w:ascii="Centaur" w:hAnsi="Centaur"/>
                <w:noProof/>
                <w:sz w:val="28"/>
                <w:szCs w:val="28"/>
                <w:vertAlign w:val="subscript"/>
              </w:rPr>
              <w:t>10</w:t>
            </w:r>
          </w:p>
        </w:tc>
        <w:tc>
          <w:tcPr>
            <w:tcW w:w="1233" w:type="dxa"/>
            <w:tcBorders>
              <w:bottom w:val="single" w:sz="4" w:space="0" w:color="auto"/>
            </w:tcBorders>
            <w:vAlign w:val="center"/>
            <w:hideMark/>
          </w:tcPr>
          <w:p w:rsidR="00497FE6" w:rsidRPr="00497FE6" w:rsidRDefault="00497FE6" w:rsidP="00497FE6">
            <w:pPr>
              <w:spacing w:before="0" w:line="240" w:lineRule="auto"/>
              <w:jc w:val="center"/>
              <w:rPr>
                <w:rFonts w:ascii="Centaur" w:hAnsi="Centaur"/>
                <w:noProof/>
                <w:sz w:val="28"/>
                <w:szCs w:val="28"/>
                <w:lang w:eastAsia="id-ID"/>
              </w:rPr>
            </w:pPr>
            <w:r w:rsidRPr="00497FE6">
              <w:rPr>
                <w:rFonts w:ascii="Centaur" w:hAnsi="Centaur"/>
                <w:noProof/>
                <w:sz w:val="28"/>
                <w:szCs w:val="28"/>
              </w:rPr>
              <w:t>Y1*Z</w:t>
            </w:r>
          </w:p>
        </w:tc>
        <w:tc>
          <w:tcPr>
            <w:tcW w:w="473" w:type="dxa"/>
            <w:tcBorders>
              <w:bottom w:val="single" w:sz="4" w:space="0" w:color="auto"/>
            </w:tcBorders>
            <w:noWrap/>
            <w:vAlign w:val="center"/>
            <w:hideMark/>
          </w:tcPr>
          <w:p w:rsidR="00497FE6" w:rsidRPr="00497FE6" w:rsidRDefault="00497FE6" w:rsidP="00497FE6">
            <w:pPr>
              <w:spacing w:before="0" w:line="240" w:lineRule="auto"/>
              <w:rPr>
                <w:rFonts w:ascii="Centaur" w:hAnsi="Centaur"/>
                <w:noProof/>
                <w:sz w:val="28"/>
                <w:szCs w:val="28"/>
                <w:lang w:eastAsia="id-ID"/>
              </w:rPr>
            </w:pPr>
            <w:r w:rsidRPr="00497FE6">
              <w:rPr>
                <w:rFonts w:ascii="Centaur" w:hAnsi="Centaur"/>
                <w:noProof/>
                <w:sz w:val="28"/>
                <w:szCs w:val="28"/>
              </w:rPr>
              <w:sym w:font="Wingdings" w:char="F0E0"/>
            </w:r>
          </w:p>
        </w:tc>
        <w:tc>
          <w:tcPr>
            <w:tcW w:w="1133" w:type="dxa"/>
            <w:tcBorders>
              <w:bottom w:val="single" w:sz="4" w:space="0" w:color="auto"/>
            </w:tcBorders>
            <w:vAlign w:val="center"/>
            <w:hideMark/>
          </w:tcPr>
          <w:p w:rsidR="00497FE6" w:rsidRPr="00497FE6" w:rsidRDefault="00497FE6" w:rsidP="00497FE6">
            <w:pPr>
              <w:pStyle w:val="NoSpacing"/>
              <w:jc w:val="center"/>
              <w:rPr>
                <w:rFonts w:ascii="Centaur" w:hAnsi="Centaur"/>
                <w:noProof/>
                <w:sz w:val="28"/>
                <w:szCs w:val="28"/>
              </w:rPr>
            </w:pPr>
            <w:r w:rsidRPr="00497FE6">
              <w:rPr>
                <w:rFonts w:ascii="Centaur" w:hAnsi="Centaur"/>
                <w:noProof/>
                <w:sz w:val="28"/>
                <w:szCs w:val="28"/>
              </w:rPr>
              <w:t>Y2</w:t>
            </w:r>
          </w:p>
        </w:tc>
        <w:tc>
          <w:tcPr>
            <w:tcW w:w="986" w:type="dxa"/>
            <w:tcBorders>
              <w:bottom w:val="single" w:sz="4" w:space="0" w:color="auto"/>
            </w:tcBorders>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0.499</w:t>
            </w:r>
          </w:p>
        </w:tc>
        <w:tc>
          <w:tcPr>
            <w:tcW w:w="723" w:type="dxa"/>
            <w:tcBorders>
              <w:bottom w:val="single" w:sz="4" w:space="0" w:color="auto"/>
            </w:tcBorders>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2.692</w:t>
            </w:r>
          </w:p>
        </w:tc>
        <w:tc>
          <w:tcPr>
            <w:tcW w:w="711" w:type="dxa"/>
            <w:tcBorders>
              <w:bottom w:val="single" w:sz="4" w:space="0" w:color="auto"/>
            </w:tcBorders>
            <w:vAlign w:val="bottom"/>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0.007</w:t>
            </w:r>
          </w:p>
        </w:tc>
        <w:tc>
          <w:tcPr>
            <w:tcW w:w="2050" w:type="dxa"/>
            <w:tcBorders>
              <w:bottom w:val="single" w:sz="4" w:space="0" w:color="auto"/>
            </w:tcBorders>
            <w:vAlign w:val="center"/>
            <w:hideMark/>
          </w:tcPr>
          <w:p w:rsidR="00497FE6" w:rsidRPr="00497FE6" w:rsidRDefault="00497FE6" w:rsidP="00497FE6">
            <w:pPr>
              <w:pStyle w:val="NoSpacing"/>
              <w:jc w:val="center"/>
              <w:rPr>
                <w:rFonts w:ascii="Centaur" w:hAnsi="Centaur"/>
                <w:noProof/>
                <w:sz w:val="28"/>
                <w:szCs w:val="28"/>
                <w:lang w:eastAsia="id-ID"/>
              </w:rPr>
            </w:pPr>
            <w:r w:rsidRPr="00497FE6">
              <w:rPr>
                <w:rFonts w:ascii="Centaur" w:hAnsi="Centaur"/>
                <w:noProof/>
                <w:sz w:val="28"/>
                <w:szCs w:val="28"/>
              </w:rPr>
              <w:t>Significant</w:t>
            </w:r>
          </w:p>
        </w:tc>
      </w:tr>
      <w:tr w:rsidR="00497FE6" w:rsidRPr="00497FE6" w:rsidTr="007F35E9">
        <w:trPr>
          <w:trHeight w:val="300"/>
          <w:jc w:val="center"/>
        </w:trPr>
        <w:tc>
          <w:tcPr>
            <w:tcW w:w="7914" w:type="dxa"/>
            <w:gridSpan w:val="8"/>
            <w:tcBorders>
              <w:top w:val="single" w:sz="4" w:space="0" w:color="auto"/>
              <w:bottom w:val="single" w:sz="4" w:space="0" w:color="auto"/>
            </w:tcBorders>
            <w:vAlign w:val="center"/>
            <w:hideMark/>
          </w:tcPr>
          <w:p w:rsidR="00497FE6" w:rsidRPr="00497FE6" w:rsidRDefault="00497FE6" w:rsidP="00497FE6">
            <w:pPr>
              <w:pStyle w:val="NoSpacing"/>
              <w:rPr>
                <w:rFonts w:ascii="Centaur" w:hAnsi="Centaur"/>
                <w:b/>
                <w:noProof/>
                <w:sz w:val="28"/>
                <w:szCs w:val="28"/>
              </w:rPr>
            </w:pPr>
            <w:r w:rsidRPr="00497FE6">
              <w:rPr>
                <w:rFonts w:ascii="Centaur" w:hAnsi="Centaur"/>
                <w:b/>
                <w:noProof/>
                <w:sz w:val="28"/>
                <w:szCs w:val="28"/>
              </w:rPr>
              <w:t>Keterangan:</w:t>
            </w:r>
          </w:p>
          <w:p w:rsidR="00497FE6" w:rsidRPr="00497FE6" w:rsidRDefault="00497FE6" w:rsidP="00497FE6">
            <w:pPr>
              <w:pStyle w:val="NoSpacing"/>
              <w:rPr>
                <w:rFonts w:ascii="Centaur" w:hAnsi="Centaur"/>
                <w:noProof/>
                <w:sz w:val="28"/>
                <w:szCs w:val="28"/>
              </w:rPr>
            </w:pPr>
            <w:r w:rsidRPr="00497FE6">
              <w:rPr>
                <w:rFonts w:ascii="Centaur" w:hAnsi="Centaur"/>
                <w:noProof/>
                <w:sz w:val="28"/>
                <w:szCs w:val="28"/>
              </w:rPr>
              <w:t xml:space="preserve">X1 : Competence ; X2 : </w:t>
            </w:r>
            <w:r w:rsidRPr="00497FE6">
              <w:rPr>
                <w:rFonts w:ascii="Centaur" w:hAnsi="Centaur"/>
                <w:sz w:val="28"/>
                <w:szCs w:val="28"/>
              </w:rPr>
              <w:t>work motivation</w:t>
            </w:r>
            <w:r w:rsidRPr="00497FE6">
              <w:rPr>
                <w:rFonts w:ascii="Centaur" w:hAnsi="Centaur"/>
                <w:noProof/>
                <w:sz w:val="28"/>
                <w:szCs w:val="28"/>
              </w:rPr>
              <w:t>; Y1 : Entrepreneurship Orientation</w:t>
            </w:r>
          </w:p>
          <w:p w:rsidR="00497FE6" w:rsidRPr="00497FE6" w:rsidRDefault="00497FE6" w:rsidP="00497FE6">
            <w:pPr>
              <w:pStyle w:val="NoSpacing"/>
              <w:rPr>
                <w:rFonts w:ascii="Centaur" w:hAnsi="Centaur"/>
                <w:noProof/>
                <w:sz w:val="28"/>
                <w:szCs w:val="28"/>
                <w:lang w:eastAsia="id-ID"/>
              </w:rPr>
            </w:pPr>
            <w:r w:rsidRPr="00497FE6">
              <w:rPr>
                <w:rFonts w:ascii="Centaur" w:hAnsi="Centaur"/>
                <w:noProof/>
                <w:sz w:val="28"/>
                <w:szCs w:val="28"/>
              </w:rPr>
              <w:t xml:space="preserve">Y2 : </w:t>
            </w:r>
            <w:r w:rsidRPr="00497FE6">
              <w:rPr>
                <w:rFonts w:ascii="Centaur" w:hAnsi="Centaur"/>
                <w:sz w:val="28"/>
                <w:szCs w:val="28"/>
              </w:rPr>
              <w:t>business performance</w:t>
            </w:r>
            <w:r w:rsidRPr="00497FE6">
              <w:rPr>
                <w:rFonts w:ascii="Centaur" w:hAnsi="Centaur"/>
                <w:noProof/>
                <w:sz w:val="28"/>
                <w:szCs w:val="28"/>
              </w:rPr>
              <w:t xml:space="preserve">; Z : Pandemi </w:t>
            </w:r>
            <w:r w:rsidRPr="00497FE6">
              <w:rPr>
                <w:rFonts w:ascii="Centaur" w:hAnsi="Centaur"/>
                <w:i/>
                <w:noProof/>
                <w:sz w:val="28"/>
                <w:szCs w:val="28"/>
              </w:rPr>
              <w:t>Covid</w:t>
            </w:r>
            <w:r w:rsidRPr="00497FE6">
              <w:rPr>
                <w:rFonts w:ascii="Centaur" w:hAnsi="Centaur"/>
                <w:noProof/>
                <w:sz w:val="28"/>
                <w:szCs w:val="28"/>
              </w:rPr>
              <w:t>-19 Pandemic</w:t>
            </w:r>
          </w:p>
        </w:tc>
      </w:tr>
    </w:tbl>
    <w:p w:rsidR="00497FE6" w:rsidRPr="00497FE6" w:rsidRDefault="00497FE6" w:rsidP="00497FE6">
      <w:pPr>
        <w:pStyle w:val="ListParagraph"/>
        <w:spacing w:before="0" w:line="240" w:lineRule="auto"/>
        <w:ind w:left="499"/>
        <w:rPr>
          <w:rFonts w:ascii="Centaur" w:hAnsi="Centaur"/>
          <w:b/>
          <w:color w:val="FF0000"/>
          <w:sz w:val="28"/>
          <w:szCs w:val="28"/>
        </w:rPr>
      </w:pPr>
    </w:p>
    <w:p w:rsidR="00497FE6" w:rsidRPr="000E5369" w:rsidRDefault="00497FE6" w:rsidP="00497FE6">
      <w:pPr>
        <w:pStyle w:val="BodyText"/>
        <w:numPr>
          <w:ilvl w:val="0"/>
          <w:numId w:val="17"/>
        </w:numPr>
        <w:tabs>
          <w:tab w:val="clear" w:pos="6031"/>
          <w:tab w:val="num" w:pos="360"/>
          <w:tab w:val="left" w:pos="426"/>
        </w:tabs>
        <w:spacing w:before="0" w:after="0" w:line="240" w:lineRule="auto"/>
        <w:ind w:left="360"/>
        <w:jc w:val="both"/>
        <w:rPr>
          <w:rFonts w:ascii="Centaur" w:hAnsi="Centaur"/>
          <w:noProof/>
          <w:sz w:val="28"/>
          <w:szCs w:val="28"/>
        </w:rPr>
      </w:pPr>
      <w:r w:rsidRPr="000E5369">
        <w:rPr>
          <w:rStyle w:val="jlqj4b"/>
          <w:rFonts w:ascii="Centaur" w:hAnsi="Centaur"/>
          <w:sz w:val="28"/>
          <w:szCs w:val="28"/>
        </w:rPr>
        <w:t xml:space="preserve">The effect of the interaction variable X1*Z on Y1 produces a p value &lt;0.05, with a significant moderating effect, thus H6a is accepted.This result means that the influence of competence on </w:t>
      </w:r>
      <w:r w:rsidRPr="000E5369">
        <w:rPr>
          <w:rFonts w:ascii="Centaur" w:hAnsi="Centaur"/>
          <w:noProof/>
          <w:sz w:val="28"/>
          <w:szCs w:val="28"/>
        </w:rPr>
        <w:t>Entrepreneurship Orientation</w:t>
      </w:r>
      <w:r w:rsidRPr="000E5369">
        <w:rPr>
          <w:rStyle w:val="jlqj4b"/>
          <w:rFonts w:ascii="Centaur" w:hAnsi="Centaur"/>
          <w:sz w:val="28"/>
          <w:szCs w:val="28"/>
        </w:rPr>
        <w:t xml:space="preserve"> will be even stronger with the moderation of the COVID-19 pandemic.</w:t>
      </w:r>
    </w:p>
    <w:p w:rsidR="00497FE6" w:rsidRPr="000E5369" w:rsidRDefault="00497FE6" w:rsidP="00497FE6">
      <w:pPr>
        <w:pStyle w:val="BodyText"/>
        <w:numPr>
          <w:ilvl w:val="0"/>
          <w:numId w:val="17"/>
        </w:numPr>
        <w:tabs>
          <w:tab w:val="left" w:pos="426"/>
        </w:tabs>
        <w:spacing w:before="0" w:after="0" w:line="240" w:lineRule="auto"/>
        <w:ind w:left="426" w:hanging="426"/>
        <w:jc w:val="both"/>
        <w:rPr>
          <w:rFonts w:ascii="Centaur" w:hAnsi="Centaur"/>
          <w:noProof/>
          <w:sz w:val="28"/>
          <w:szCs w:val="28"/>
        </w:rPr>
      </w:pPr>
      <w:r w:rsidRPr="000E5369">
        <w:rPr>
          <w:rFonts w:ascii="Centaur" w:hAnsi="Centaur"/>
          <w:noProof/>
          <w:sz w:val="28"/>
          <w:szCs w:val="28"/>
        </w:rPr>
        <w:t>The effect of the interaction variable X2*Z on Y1 resulted in a p value &gt; 0.05 with insignificant moderating effect, thus H6b is rejected. This result means that</w:t>
      </w:r>
      <w:r w:rsidRPr="000E5369">
        <w:rPr>
          <w:rFonts w:ascii="Centaur" w:hAnsi="Centaur"/>
          <w:color w:val="FFFFFF" w:themeColor="background1"/>
          <w:sz w:val="28"/>
          <w:szCs w:val="28"/>
        </w:rPr>
        <w:t>l</w:t>
      </w:r>
      <w:r w:rsidRPr="000E5369">
        <w:rPr>
          <w:rFonts w:ascii="Centaur" w:hAnsi="Centaur"/>
          <w:noProof/>
          <w:sz w:val="28"/>
          <w:szCs w:val="28"/>
        </w:rPr>
        <w:t>the</w:t>
      </w:r>
      <w:r w:rsidRPr="000E5369">
        <w:rPr>
          <w:rFonts w:ascii="Centaur" w:hAnsi="Centaur"/>
          <w:color w:val="FFFFFF" w:themeColor="background1"/>
          <w:sz w:val="28"/>
          <w:szCs w:val="28"/>
        </w:rPr>
        <w:t>l</w:t>
      </w:r>
      <w:r w:rsidRPr="000E5369">
        <w:rPr>
          <w:rFonts w:ascii="Centaur" w:hAnsi="Centaur"/>
          <w:noProof/>
          <w:sz w:val="28"/>
          <w:szCs w:val="28"/>
        </w:rPr>
        <w:t>COVID-19 pandemic</w:t>
      </w:r>
      <w:r w:rsidRPr="000E5369">
        <w:rPr>
          <w:rFonts w:ascii="Centaur" w:hAnsi="Centaur"/>
          <w:color w:val="FFFFFF" w:themeColor="background1"/>
          <w:sz w:val="28"/>
          <w:szCs w:val="28"/>
        </w:rPr>
        <w:t>l</w:t>
      </w:r>
      <w:r w:rsidRPr="000E5369">
        <w:rPr>
          <w:rFonts w:ascii="Centaur" w:hAnsi="Centaur"/>
          <w:noProof/>
          <w:sz w:val="28"/>
          <w:szCs w:val="28"/>
        </w:rPr>
        <w:t>does not moderate</w:t>
      </w:r>
      <w:r w:rsidRPr="000E5369">
        <w:rPr>
          <w:rFonts w:ascii="Centaur" w:hAnsi="Centaur"/>
          <w:color w:val="FFFFFF" w:themeColor="background1"/>
          <w:sz w:val="28"/>
          <w:szCs w:val="28"/>
        </w:rPr>
        <w:t>l</w:t>
      </w:r>
      <w:r w:rsidRPr="000E5369">
        <w:rPr>
          <w:rFonts w:ascii="Centaur" w:hAnsi="Centaur"/>
          <w:noProof/>
          <w:sz w:val="28"/>
          <w:szCs w:val="28"/>
        </w:rPr>
        <w:t>the</w:t>
      </w:r>
      <w:r w:rsidRPr="000E5369">
        <w:rPr>
          <w:rFonts w:ascii="Centaur" w:hAnsi="Centaur"/>
          <w:color w:val="FFFFFF" w:themeColor="background1"/>
          <w:sz w:val="28"/>
          <w:szCs w:val="28"/>
        </w:rPr>
        <w:t>l</w:t>
      </w:r>
      <w:r w:rsidRPr="000E5369">
        <w:rPr>
          <w:rFonts w:ascii="Centaur" w:hAnsi="Centaur"/>
          <w:noProof/>
          <w:sz w:val="28"/>
          <w:szCs w:val="28"/>
        </w:rPr>
        <w:t>effect</w:t>
      </w:r>
      <w:r w:rsidRPr="000E5369">
        <w:rPr>
          <w:rFonts w:ascii="Centaur" w:hAnsi="Centaur"/>
          <w:color w:val="FFFFFF" w:themeColor="background1"/>
          <w:sz w:val="28"/>
          <w:szCs w:val="28"/>
        </w:rPr>
        <w:t>l</w:t>
      </w:r>
      <w:r w:rsidRPr="000E5369">
        <w:rPr>
          <w:rFonts w:ascii="Centaur" w:hAnsi="Centaur"/>
          <w:noProof/>
          <w:sz w:val="28"/>
          <w:szCs w:val="28"/>
        </w:rPr>
        <w:t>of work motivation on</w:t>
      </w:r>
      <w:r w:rsidRPr="000E5369">
        <w:rPr>
          <w:rFonts w:ascii="Centaur" w:hAnsi="Centaur"/>
          <w:color w:val="FFFFFF" w:themeColor="background1"/>
          <w:sz w:val="28"/>
          <w:szCs w:val="28"/>
        </w:rPr>
        <w:t>l</w:t>
      </w:r>
      <w:r w:rsidRPr="000E5369">
        <w:rPr>
          <w:rFonts w:ascii="Centaur" w:hAnsi="Centaur"/>
          <w:noProof/>
          <w:sz w:val="28"/>
          <w:szCs w:val="28"/>
        </w:rPr>
        <w:t>Entrepreneurship Orientation.</w:t>
      </w:r>
    </w:p>
    <w:p w:rsidR="00497FE6" w:rsidRPr="000E5369" w:rsidRDefault="00497FE6" w:rsidP="00497FE6">
      <w:pPr>
        <w:pStyle w:val="BodyText"/>
        <w:numPr>
          <w:ilvl w:val="0"/>
          <w:numId w:val="17"/>
        </w:numPr>
        <w:tabs>
          <w:tab w:val="left" w:pos="426"/>
        </w:tabs>
        <w:spacing w:before="0" w:after="0" w:line="240" w:lineRule="auto"/>
        <w:ind w:left="426" w:hanging="426"/>
        <w:jc w:val="both"/>
        <w:rPr>
          <w:rFonts w:ascii="Centaur" w:hAnsi="Centaur"/>
          <w:noProof/>
          <w:sz w:val="28"/>
          <w:szCs w:val="28"/>
        </w:rPr>
      </w:pPr>
      <w:r w:rsidRPr="000E5369">
        <w:rPr>
          <w:rFonts w:ascii="Centaur" w:hAnsi="Centaur"/>
          <w:noProof/>
          <w:sz w:val="28"/>
          <w:szCs w:val="28"/>
        </w:rPr>
        <w:t>The effect of the interaction variable X1*Z on Y2 resulted in a p value &lt;0.05 with a significant moderating effect, thus H6c is accepted. This result means that the influence of competence on business performance will increase with the moderation of the Covid-19 pandemic.</w:t>
      </w:r>
    </w:p>
    <w:p w:rsidR="00497FE6" w:rsidRPr="000E5369" w:rsidRDefault="00497FE6" w:rsidP="00497FE6">
      <w:pPr>
        <w:pStyle w:val="BodyText"/>
        <w:numPr>
          <w:ilvl w:val="0"/>
          <w:numId w:val="17"/>
        </w:numPr>
        <w:tabs>
          <w:tab w:val="left" w:pos="426"/>
        </w:tabs>
        <w:spacing w:before="0" w:after="0" w:line="240" w:lineRule="auto"/>
        <w:ind w:left="426" w:hanging="426"/>
        <w:jc w:val="both"/>
        <w:rPr>
          <w:rFonts w:ascii="Centaur" w:hAnsi="Centaur"/>
          <w:b/>
          <w:sz w:val="28"/>
          <w:szCs w:val="28"/>
        </w:rPr>
      </w:pPr>
      <w:r w:rsidRPr="000E5369">
        <w:rPr>
          <w:rFonts w:ascii="Centaur" w:hAnsi="Centaur"/>
          <w:noProof/>
          <w:sz w:val="28"/>
          <w:szCs w:val="28"/>
        </w:rPr>
        <w:t>The effect of the interaction variable X2*Z on Y2 resulted in a p value &gt; 0.05 with insignificant moderating effect, thus H6d is rejected. This result means that the COVID-19 pandemic does</w:t>
      </w:r>
      <w:r w:rsidRPr="000E5369">
        <w:rPr>
          <w:rFonts w:ascii="Centaur" w:hAnsi="Centaur"/>
          <w:color w:val="FFFFFF" w:themeColor="background1"/>
          <w:sz w:val="28"/>
          <w:szCs w:val="28"/>
        </w:rPr>
        <w:t>l</w:t>
      </w:r>
      <w:r w:rsidRPr="000E5369">
        <w:rPr>
          <w:rFonts w:ascii="Centaur" w:hAnsi="Centaur"/>
          <w:noProof/>
          <w:sz w:val="28"/>
          <w:szCs w:val="28"/>
        </w:rPr>
        <w:t>not</w:t>
      </w:r>
      <w:r w:rsidRPr="000E5369">
        <w:rPr>
          <w:rFonts w:ascii="Centaur" w:hAnsi="Centaur"/>
          <w:color w:val="FFFFFF" w:themeColor="background1"/>
          <w:sz w:val="28"/>
          <w:szCs w:val="28"/>
        </w:rPr>
        <w:t>l</w:t>
      </w:r>
      <w:r w:rsidRPr="000E5369">
        <w:rPr>
          <w:rFonts w:ascii="Centaur" w:hAnsi="Centaur"/>
          <w:noProof/>
          <w:sz w:val="28"/>
          <w:szCs w:val="28"/>
        </w:rPr>
        <w:t>moderate</w:t>
      </w:r>
      <w:r w:rsidRPr="000E5369">
        <w:rPr>
          <w:rFonts w:ascii="Centaur" w:hAnsi="Centaur"/>
          <w:color w:val="FFFFFF" w:themeColor="background1"/>
          <w:sz w:val="28"/>
          <w:szCs w:val="28"/>
        </w:rPr>
        <w:t>l</w:t>
      </w:r>
      <w:r w:rsidRPr="000E5369">
        <w:rPr>
          <w:rFonts w:ascii="Centaur" w:hAnsi="Centaur"/>
          <w:noProof/>
          <w:sz w:val="28"/>
          <w:szCs w:val="28"/>
        </w:rPr>
        <w:t>the</w:t>
      </w:r>
      <w:r w:rsidRPr="000E5369">
        <w:rPr>
          <w:rFonts w:ascii="Centaur" w:hAnsi="Centaur"/>
          <w:color w:val="FFFFFF" w:themeColor="background1"/>
          <w:sz w:val="28"/>
          <w:szCs w:val="28"/>
        </w:rPr>
        <w:t>l</w:t>
      </w:r>
      <w:r w:rsidRPr="000E5369">
        <w:rPr>
          <w:rFonts w:ascii="Centaur" w:hAnsi="Centaur"/>
          <w:noProof/>
          <w:sz w:val="28"/>
          <w:szCs w:val="28"/>
        </w:rPr>
        <w:t>effect</w:t>
      </w:r>
      <w:r w:rsidRPr="000E5369">
        <w:rPr>
          <w:rFonts w:ascii="Centaur" w:hAnsi="Centaur"/>
          <w:color w:val="FFFFFF" w:themeColor="background1"/>
          <w:sz w:val="28"/>
          <w:szCs w:val="28"/>
        </w:rPr>
        <w:t>l</w:t>
      </w:r>
      <w:r w:rsidRPr="000E5369">
        <w:rPr>
          <w:rFonts w:ascii="Centaur" w:hAnsi="Centaur"/>
          <w:noProof/>
          <w:sz w:val="28"/>
          <w:szCs w:val="28"/>
        </w:rPr>
        <w:t>of</w:t>
      </w:r>
      <w:r w:rsidRPr="000E5369">
        <w:rPr>
          <w:rFonts w:ascii="Centaur" w:hAnsi="Centaur"/>
          <w:color w:val="FFFFFF" w:themeColor="background1"/>
          <w:sz w:val="28"/>
          <w:szCs w:val="28"/>
        </w:rPr>
        <w:t>l</w:t>
      </w:r>
      <w:r w:rsidRPr="000E5369">
        <w:rPr>
          <w:rFonts w:ascii="Centaur" w:hAnsi="Centaur"/>
          <w:noProof/>
          <w:sz w:val="28"/>
          <w:szCs w:val="28"/>
        </w:rPr>
        <w:t>work motivation on</w:t>
      </w:r>
      <w:r w:rsidRPr="000E5369">
        <w:rPr>
          <w:rFonts w:ascii="Centaur" w:hAnsi="Centaur"/>
          <w:color w:val="FFFFFF" w:themeColor="background1"/>
          <w:sz w:val="28"/>
          <w:szCs w:val="28"/>
        </w:rPr>
        <w:t>l</w:t>
      </w:r>
      <w:r w:rsidRPr="000E5369">
        <w:rPr>
          <w:rFonts w:ascii="Centaur" w:hAnsi="Centaur"/>
          <w:noProof/>
          <w:sz w:val="28"/>
          <w:szCs w:val="28"/>
        </w:rPr>
        <w:t>business</w:t>
      </w:r>
      <w:r w:rsidRPr="000E5369">
        <w:rPr>
          <w:rFonts w:ascii="Centaur" w:hAnsi="Centaur"/>
          <w:color w:val="FFFFFF" w:themeColor="background1"/>
          <w:sz w:val="28"/>
          <w:szCs w:val="28"/>
        </w:rPr>
        <w:t>l</w:t>
      </w:r>
      <w:r w:rsidRPr="000E5369">
        <w:rPr>
          <w:rFonts w:ascii="Centaur" w:hAnsi="Centaur"/>
          <w:noProof/>
          <w:sz w:val="28"/>
          <w:szCs w:val="28"/>
        </w:rPr>
        <w:t xml:space="preserve">performance  </w:t>
      </w:r>
    </w:p>
    <w:p w:rsidR="00497FE6" w:rsidRPr="000E5369" w:rsidRDefault="00497FE6" w:rsidP="00497FE6">
      <w:pPr>
        <w:pStyle w:val="BodyText"/>
        <w:numPr>
          <w:ilvl w:val="0"/>
          <w:numId w:val="17"/>
        </w:numPr>
        <w:tabs>
          <w:tab w:val="left" w:pos="426"/>
        </w:tabs>
        <w:spacing w:before="0" w:after="0" w:line="240" w:lineRule="auto"/>
        <w:ind w:left="426" w:hanging="426"/>
        <w:jc w:val="both"/>
        <w:rPr>
          <w:rStyle w:val="jlqj4b"/>
          <w:rFonts w:ascii="Centaur" w:hAnsi="Centaur"/>
          <w:b/>
          <w:sz w:val="28"/>
          <w:szCs w:val="28"/>
        </w:rPr>
      </w:pPr>
      <w:r w:rsidRPr="000E5369">
        <w:rPr>
          <w:rStyle w:val="jlqj4b"/>
          <w:rFonts w:ascii="Centaur" w:hAnsi="Centaur"/>
          <w:sz w:val="28"/>
          <w:szCs w:val="28"/>
        </w:rPr>
        <w:t xml:space="preserve">Theeffect of the Y1*Z interaction variable on Y2 resulted in a p value &lt;0.05 with a significant moderating effect, thus H6e is accepted.This result means that the influence of </w:t>
      </w:r>
      <w:r w:rsidRPr="000E5369">
        <w:rPr>
          <w:rFonts w:ascii="Centaur" w:hAnsi="Centaur"/>
          <w:noProof/>
          <w:sz w:val="28"/>
          <w:szCs w:val="28"/>
        </w:rPr>
        <w:t>Entrepreneurship Orientation</w:t>
      </w:r>
      <w:r w:rsidRPr="000E5369">
        <w:rPr>
          <w:rStyle w:val="jlqj4b"/>
          <w:rFonts w:ascii="Centaur" w:hAnsi="Centaur"/>
          <w:sz w:val="28"/>
          <w:szCs w:val="28"/>
        </w:rPr>
        <w:t xml:space="preserve"> on business performance will be even stronger with the moderation of the COVID-19 pandemic</w:t>
      </w:r>
    </w:p>
    <w:p w:rsidR="00497FE6" w:rsidRPr="000E5369" w:rsidRDefault="00497FE6" w:rsidP="007F35E9">
      <w:pPr>
        <w:pStyle w:val="BodyText"/>
        <w:tabs>
          <w:tab w:val="left" w:pos="426"/>
        </w:tabs>
        <w:spacing w:before="0" w:after="0" w:line="240" w:lineRule="auto"/>
        <w:ind w:left="0" w:firstLine="0"/>
        <w:jc w:val="both"/>
        <w:rPr>
          <w:rFonts w:ascii="Centaur" w:hAnsi="Centaur"/>
          <w:b/>
          <w:color w:val="FF0000"/>
          <w:sz w:val="28"/>
          <w:szCs w:val="28"/>
          <w:lang w:val="en-US"/>
        </w:rPr>
      </w:pPr>
    </w:p>
    <w:p w:rsidR="00497FE6" w:rsidRPr="000E5369" w:rsidRDefault="00057006" w:rsidP="00497FE6">
      <w:pPr>
        <w:spacing w:before="0" w:line="240" w:lineRule="auto"/>
        <w:ind w:left="360"/>
        <w:jc w:val="both"/>
        <w:rPr>
          <w:rFonts w:ascii="Centaur" w:hAnsi="Centaur"/>
          <w:b/>
          <w:sz w:val="28"/>
          <w:szCs w:val="28"/>
        </w:rPr>
      </w:pPr>
      <w:r w:rsidRPr="000E5369">
        <w:rPr>
          <w:rFonts w:ascii="Centaur" w:hAnsi="Centaur"/>
          <w:b/>
          <w:noProof/>
          <w:sz w:val="28"/>
          <w:szCs w:val="28"/>
        </w:rPr>
        <w:t>DISCUSSION</w:t>
      </w:r>
    </w:p>
    <w:p w:rsidR="00497FE6" w:rsidRPr="000E5369" w:rsidRDefault="00497FE6" w:rsidP="001901C6">
      <w:pPr>
        <w:spacing w:before="0" w:line="240" w:lineRule="auto"/>
        <w:ind w:left="0" w:firstLine="900"/>
        <w:jc w:val="both"/>
        <w:rPr>
          <w:rFonts w:ascii="Centaur" w:hAnsi="Centaur"/>
          <w:sz w:val="28"/>
          <w:szCs w:val="28"/>
          <w:lang w:val="en-US"/>
        </w:rPr>
      </w:pPr>
      <w:r w:rsidRPr="000E5369">
        <w:rPr>
          <w:rFonts w:ascii="Centaur" w:hAnsi="Centaur"/>
          <w:sz w:val="28"/>
          <w:szCs w:val="28"/>
        </w:rPr>
        <w:t xml:space="preserve">The results of the research model that was compiled with a modified structural equation approach indicated the suitability of the structural equation model upon modification, where all the criteria for model </w:t>
      </w:r>
    </w:p>
    <w:p w:rsidR="00497FE6" w:rsidRPr="000E5369" w:rsidRDefault="00497FE6" w:rsidP="001901C6">
      <w:pPr>
        <w:spacing w:before="0" w:line="240" w:lineRule="auto"/>
        <w:ind w:left="0" w:firstLine="900"/>
        <w:jc w:val="both"/>
        <w:rPr>
          <w:rFonts w:ascii="Centaur" w:hAnsi="Centaur"/>
          <w:color w:val="FF0000"/>
          <w:sz w:val="28"/>
          <w:szCs w:val="28"/>
        </w:rPr>
      </w:pPr>
      <w:r w:rsidRPr="000E5369">
        <w:rPr>
          <w:rFonts w:ascii="Centaur" w:hAnsi="Centaur"/>
          <w:sz w:val="28"/>
          <w:szCs w:val="28"/>
        </w:rPr>
        <w:t>Suitability had met the requirements of marginal fit or good fit. Thus far, the estimation of this structural equation model is stated to be good and feasible and acceptable, signifying that</w:t>
      </w:r>
      <w:r w:rsidRPr="000E5369">
        <w:rPr>
          <w:rFonts w:ascii="Centaur" w:hAnsi="Centaur"/>
          <w:color w:val="FFFFFF" w:themeColor="background1"/>
          <w:sz w:val="28"/>
          <w:szCs w:val="28"/>
        </w:rPr>
        <w:t>l</w:t>
      </w:r>
      <w:r w:rsidRPr="000E5369">
        <w:rPr>
          <w:rFonts w:ascii="Centaur" w:hAnsi="Centaur"/>
          <w:sz w:val="28"/>
          <w:szCs w:val="28"/>
        </w:rPr>
        <w:t>there</w:t>
      </w:r>
      <w:r w:rsidRPr="000E5369">
        <w:rPr>
          <w:rFonts w:ascii="Centaur" w:hAnsi="Centaur"/>
          <w:color w:val="FFFFFF" w:themeColor="background1"/>
          <w:sz w:val="28"/>
          <w:szCs w:val="28"/>
        </w:rPr>
        <w:t>l</w:t>
      </w:r>
      <w:r w:rsidRPr="000E5369">
        <w:rPr>
          <w:rFonts w:ascii="Centaur" w:hAnsi="Centaur"/>
          <w:sz w:val="28"/>
          <w:szCs w:val="28"/>
        </w:rPr>
        <w:t>is</w:t>
      </w:r>
      <w:r w:rsidRPr="000E5369">
        <w:rPr>
          <w:rFonts w:ascii="Centaur" w:hAnsi="Centaur"/>
          <w:color w:val="FFFFFF" w:themeColor="background1"/>
          <w:sz w:val="28"/>
          <w:szCs w:val="28"/>
        </w:rPr>
        <w:t>l</w:t>
      </w:r>
      <w:r w:rsidRPr="000E5369">
        <w:rPr>
          <w:rFonts w:ascii="Centaur" w:hAnsi="Centaur"/>
          <w:sz w:val="28"/>
          <w:szCs w:val="28"/>
        </w:rPr>
        <w:t>a</w:t>
      </w:r>
      <w:r w:rsidRPr="000E5369">
        <w:rPr>
          <w:rFonts w:ascii="Centaur" w:hAnsi="Centaur"/>
          <w:color w:val="FFFFFF" w:themeColor="background1"/>
          <w:sz w:val="28"/>
          <w:szCs w:val="28"/>
        </w:rPr>
        <w:t>l</w:t>
      </w:r>
      <w:r w:rsidRPr="000E5369">
        <w:rPr>
          <w:rFonts w:ascii="Centaur" w:hAnsi="Centaur"/>
          <w:sz w:val="28"/>
          <w:szCs w:val="28"/>
        </w:rPr>
        <w:t>cause and effect</w:t>
      </w:r>
      <w:r w:rsidRPr="000E5369">
        <w:rPr>
          <w:rFonts w:ascii="Centaur" w:hAnsi="Centaur"/>
          <w:color w:val="FFFFFF" w:themeColor="background1"/>
          <w:sz w:val="28"/>
          <w:szCs w:val="28"/>
        </w:rPr>
        <w:t>l</w:t>
      </w:r>
      <w:r w:rsidRPr="000E5369">
        <w:rPr>
          <w:rFonts w:ascii="Centaur" w:hAnsi="Centaur"/>
          <w:sz w:val="28"/>
          <w:szCs w:val="28"/>
        </w:rPr>
        <w:t>relationship</w:t>
      </w:r>
      <w:r w:rsidRPr="000E5369">
        <w:rPr>
          <w:rFonts w:ascii="Centaur" w:hAnsi="Centaur"/>
          <w:color w:val="FFFFFF" w:themeColor="background1"/>
          <w:sz w:val="28"/>
          <w:szCs w:val="28"/>
        </w:rPr>
        <w:t>l</w:t>
      </w:r>
      <w:r w:rsidRPr="000E5369">
        <w:rPr>
          <w:rFonts w:ascii="Centaur" w:hAnsi="Centaur"/>
          <w:sz w:val="28"/>
          <w:szCs w:val="28"/>
        </w:rPr>
        <w:t xml:space="preserve">between the four variables of competence, work motivation, </w:t>
      </w:r>
      <w:r w:rsidRPr="000E5369">
        <w:rPr>
          <w:rFonts w:ascii="Centaur" w:hAnsi="Centaur"/>
          <w:noProof/>
          <w:sz w:val="28"/>
          <w:szCs w:val="28"/>
        </w:rPr>
        <w:t>Entrepreneurship Orientation</w:t>
      </w:r>
      <w:r w:rsidRPr="000E5369">
        <w:rPr>
          <w:rFonts w:ascii="Centaur" w:hAnsi="Centaur"/>
          <w:sz w:val="28"/>
          <w:szCs w:val="28"/>
        </w:rPr>
        <w:t>, and business performance which are interconnected as well as one COVID-19 pandemic variable as a moderating variable between related variables</w:t>
      </w:r>
      <w:r w:rsidRPr="000E5369">
        <w:rPr>
          <w:rFonts w:ascii="Centaur" w:hAnsi="Centaur"/>
          <w:color w:val="FF0000"/>
          <w:sz w:val="28"/>
          <w:szCs w:val="28"/>
        </w:rPr>
        <w:t>.</w:t>
      </w:r>
    </w:p>
    <w:p w:rsidR="00497FE6" w:rsidRPr="000E5369" w:rsidRDefault="00497FE6" w:rsidP="00497FE6">
      <w:pPr>
        <w:pStyle w:val="ListParagraph"/>
        <w:widowControl/>
        <w:numPr>
          <w:ilvl w:val="2"/>
          <w:numId w:val="13"/>
        </w:numPr>
        <w:autoSpaceDE/>
        <w:autoSpaceDN/>
        <w:spacing w:before="0" w:line="240" w:lineRule="auto"/>
        <w:ind w:left="720"/>
        <w:contextualSpacing/>
        <w:rPr>
          <w:rFonts w:ascii="Centaur" w:hAnsi="Centaur"/>
          <w:sz w:val="28"/>
          <w:szCs w:val="28"/>
        </w:rPr>
      </w:pPr>
      <w:r w:rsidRPr="000E5369">
        <w:rPr>
          <w:rFonts w:ascii="Centaur" w:hAnsi="Centaur"/>
          <w:sz w:val="28"/>
          <w:szCs w:val="28"/>
        </w:rPr>
        <w:t xml:space="preserve">The Influence of Competence on </w:t>
      </w:r>
      <w:r w:rsidRPr="000E5369">
        <w:rPr>
          <w:rFonts w:ascii="Centaur" w:hAnsi="Centaur"/>
          <w:noProof/>
          <w:sz w:val="28"/>
          <w:szCs w:val="28"/>
        </w:rPr>
        <w:t>Entrepreneurship Orientation</w:t>
      </w:r>
      <w:r w:rsidRPr="000E5369">
        <w:rPr>
          <w:rFonts w:ascii="Centaur" w:hAnsi="Centaur"/>
          <w:sz w:val="28"/>
          <w:szCs w:val="28"/>
        </w:rPr>
        <w:t>.</w:t>
      </w:r>
    </w:p>
    <w:p w:rsidR="00497FE6" w:rsidRPr="000E5369" w:rsidRDefault="00497FE6" w:rsidP="00497FE6">
      <w:pPr>
        <w:pStyle w:val="ListParagraph"/>
        <w:spacing w:before="0" w:line="240" w:lineRule="auto"/>
        <w:ind w:left="0" w:firstLine="567"/>
        <w:rPr>
          <w:rFonts w:ascii="Centaur" w:hAnsi="Centaur"/>
          <w:color w:val="FF0000"/>
          <w:sz w:val="28"/>
          <w:szCs w:val="28"/>
        </w:rPr>
      </w:pPr>
      <w:r w:rsidRPr="000E5369">
        <w:rPr>
          <w:rFonts w:ascii="Centaur" w:hAnsi="Centaur"/>
          <w:sz w:val="28"/>
          <w:szCs w:val="28"/>
        </w:rPr>
        <w:t xml:space="preserve">The proven influence of significant competence on </w:t>
      </w:r>
      <w:r w:rsidRPr="000E5369">
        <w:rPr>
          <w:rFonts w:ascii="Centaur" w:hAnsi="Centaur"/>
          <w:noProof/>
          <w:sz w:val="28"/>
          <w:szCs w:val="28"/>
        </w:rPr>
        <w:t>Entrepreneurship Orientation</w:t>
      </w:r>
      <w:r w:rsidRPr="000E5369">
        <w:rPr>
          <w:rFonts w:ascii="Centaur" w:hAnsi="Centaur"/>
          <w:sz w:val="28"/>
          <w:szCs w:val="28"/>
        </w:rPr>
        <w:t xml:space="preserve"> indicates that SMEs demonstrate the potential selling points and can </w:t>
      </w:r>
      <w:r w:rsidRPr="000E5369">
        <w:rPr>
          <w:rFonts w:ascii="Centaur" w:hAnsi="Centaur"/>
          <w:sz w:val="28"/>
          <w:szCs w:val="28"/>
        </w:rPr>
        <w:lastRenderedPageBreak/>
        <w:t>apply creativity and innovation, generating a positive attitude towards the products to be offered to consumers. This indication is marked by the motives and characteristics of SMEs, self-concept and inherent skills when operating the business. The results</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this</w:t>
      </w:r>
      <w:r w:rsidRPr="000E5369">
        <w:rPr>
          <w:rFonts w:ascii="Centaur" w:hAnsi="Centaur"/>
          <w:color w:val="FFFFFF" w:themeColor="background1"/>
          <w:sz w:val="28"/>
          <w:szCs w:val="28"/>
        </w:rPr>
        <w:t>l</w:t>
      </w:r>
      <w:r w:rsidRPr="000E5369">
        <w:rPr>
          <w:rFonts w:ascii="Centaur" w:hAnsi="Centaur"/>
          <w:sz w:val="28"/>
          <w:szCs w:val="28"/>
        </w:rPr>
        <w:t>study</w:t>
      </w:r>
      <w:r w:rsidRPr="000E5369">
        <w:rPr>
          <w:rFonts w:ascii="Centaur" w:hAnsi="Centaur"/>
          <w:color w:val="FFFFFF" w:themeColor="background1"/>
          <w:sz w:val="28"/>
          <w:szCs w:val="28"/>
        </w:rPr>
        <w:t>l</w:t>
      </w:r>
      <w:r w:rsidRPr="000E5369">
        <w:rPr>
          <w:rFonts w:ascii="Centaur" w:hAnsi="Centaur"/>
          <w:sz w:val="28"/>
          <w:szCs w:val="28"/>
        </w:rPr>
        <w:t>are hence consistent with the</w:t>
      </w:r>
      <w:r w:rsidRPr="000E5369">
        <w:rPr>
          <w:rFonts w:ascii="Centaur" w:hAnsi="Centaur"/>
          <w:color w:val="FFFFFF" w:themeColor="background1"/>
          <w:sz w:val="28"/>
          <w:szCs w:val="28"/>
        </w:rPr>
        <w:t>l</w:t>
      </w:r>
      <w:r w:rsidRPr="000E5369">
        <w:rPr>
          <w:rFonts w:ascii="Centaur" w:hAnsi="Centaur"/>
          <w:sz w:val="28"/>
          <w:szCs w:val="28"/>
        </w:rPr>
        <w:t>RBV theory</w:t>
      </w:r>
      <w:r w:rsidRPr="000E5369">
        <w:rPr>
          <w:rFonts w:ascii="Centaur" w:hAnsi="Centaur"/>
          <w:color w:val="FFFFFF" w:themeColor="background1"/>
          <w:sz w:val="28"/>
          <w:szCs w:val="28"/>
        </w:rPr>
        <w:t>l</w:t>
      </w:r>
      <w:r w:rsidRPr="000E5369">
        <w:rPr>
          <w:rFonts w:ascii="Centaur" w:hAnsi="Centaur"/>
          <w:sz w:val="28"/>
          <w:szCs w:val="28"/>
        </w:rPr>
        <w:t>that the</w:t>
      </w:r>
      <w:r w:rsidRPr="000E5369">
        <w:rPr>
          <w:rFonts w:ascii="Centaur" w:hAnsi="Centaur"/>
          <w:color w:val="FFFFFF" w:themeColor="background1"/>
          <w:sz w:val="28"/>
          <w:szCs w:val="28"/>
        </w:rPr>
        <w:t>l</w:t>
      </w:r>
      <w:r w:rsidRPr="000E5369">
        <w:rPr>
          <w:rFonts w:ascii="Centaur" w:hAnsi="Centaur"/>
          <w:sz w:val="28"/>
          <w:szCs w:val="28"/>
        </w:rPr>
        <w:t>application of</w:t>
      </w:r>
      <w:r w:rsidRPr="000E5369">
        <w:rPr>
          <w:rFonts w:ascii="Centaur" w:hAnsi="Centaur"/>
          <w:color w:val="FFFFFF" w:themeColor="background1"/>
          <w:sz w:val="28"/>
          <w:szCs w:val="28"/>
        </w:rPr>
        <w:t>l</w:t>
      </w: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Resource</w:t>
      </w:r>
      <w:r w:rsidRPr="000E5369">
        <w:rPr>
          <w:rFonts w:ascii="Centaur" w:hAnsi="Centaur"/>
          <w:color w:val="FFFFFF" w:themeColor="background1"/>
          <w:sz w:val="28"/>
          <w:szCs w:val="28"/>
        </w:rPr>
        <w:t>l</w:t>
      </w:r>
      <w:r w:rsidRPr="000E5369">
        <w:rPr>
          <w:rFonts w:ascii="Centaur" w:hAnsi="Centaur"/>
          <w:sz w:val="28"/>
          <w:szCs w:val="28"/>
        </w:rPr>
        <w:t>Based</w:t>
      </w:r>
      <w:r w:rsidRPr="000E5369">
        <w:rPr>
          <w:rFonts w:ascii="Centaur" w:hAnsi="Centaur"/>
          <w:color w:val="FFFFFF" w:themeColor="background1"/>
          <w:sz w:val="28"/>
          <w:szCs w:val="28"/>
        </w:rPr>
        <w:t>l</w:t>
      </w:r>
      <w:r w:rsidRPr="000E5369">
        <w:rPr>
          <w:rFonts w:ascii="Centaur" w:hAnsi="Centaur"/>
          <w:sz w:val="28"/>
          <w:szCs w:val="28"/>
        </w:rPr>
        <w:t>View</w:t>
      </w:r>
      <w:r w:rsidRPr="000E5369">
        <w:rPr>
          <w:rFonts w:ascii="Centaur" w:hAnsi="Centaur"/>
          <w:color w:val="FFFFFF" w:themeColor="background1"/>
          <w:sz w:val="28"/>
          <w:szCs w:val="28"/>
        </w:rPr>
        <w:t>l</w:t>
      </w:r>
      <w:r w:rsidRPr="000E5369">
        <w:rPr>
          <w:rFonts w:ascii="Centaur" w:hAnsi="Centaur"/>
          <w:sz w:val="28"/>
          <w:szCs w:val="28"/>
        </w:rPr>
        <w:t xml:space="preserve">strategy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{"citationItems":[{"id":"ITEM-1","itemData":{"author":[{"dropping-particle":"","family":"Barney","given":"Jay B.","non-dropping-particle":"","parse-names":false,"suffix":""}],"container-title":"Journal of Management","id":"ITEM-1","issue":"1","issued":{"date-parts":[["1991"]]},"page":"99- 120.","title":"Firm Resources and Sustained Competitive Advantage","type":"article-journal","volume":"17"},"uris":["http://www.mendeley.com/documents/?uuid=bb95c8c8-93d4-411e-a6f4-19b4ab0a6d77"]},{"id":"ITEM-2","itemData":{"DOI":"10.2307/41166664","abstract":"Recent contributions to strategic management and the theory of the firm collectively known as the “resource-based view of the firm” provide illuminating insights into the sources of profitability and the nature of competitive strategy. This article argues that internal resources rather than the market environment should provide the foundation for a firm’s strategy. On the basis of an analysis of the relationships among resources, capabilities, conpetitive advantage, and profitability, this article advances a framework for a resource-based approach to strategy formulation. © 1991, The Regents of the University of California. All rights reserved.","author":[{"dropping-particle":"","family":"Grant","given":"Robert M.","non-dropping-particle":"","parse-names":false,"suffix":""}],"container-title":"http://dx.doi.org/10.2307/41166664","id":"ITEM-2","issue":"3","issued":{"date-parts":[["1991","4","1"]]},"page":"114-135","publisher":"SAGE PublicationsSage CA: Los Angeles, CA","title":"The Resource-Based Theory of Competitive Advantage: Implications for Strategy Formulation:","type":"article-journal","volume":"33"},"uris":["http://www.mendeley.com/documents/?uuid=ee0a4093-bf7f-3361-b90e-12c16e53b41f"]}],"mendeley":{"formattedCitation":"(Barney 1991; Grant 1991)","plainTextFormattedCitation":"(Barney 1991; Grant 1991)","previouslyFormattedCitation":"(Barney 1991; Grant 1991)"},"properties":{"noteIndex":0},"schema":"https://github.com/citation-style-language/schema/raw/master/csl-citation.json"}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(Barney 1991; Grant 1991)</w:t>
      </w:r>
      <w:r w:rsidR="008E716B" w:rsidRPr="000E5369">
        <w:rPr>
          <w:rFonts w:ascii="Centaur" w:hAnsi="Centaur"/>
          <w:sz w:val="28"/>
          <w:szCs w:val="28"/>
        </w:rPr>
        <w:fldChar w:fldCharType="end"/>
      </w:r>
      <w:r w:rsidRPr="000E5369">
        <w:rPr>
          <w:rFonts w:ascii="Centaur" w:hAnsi="Centaur"/>
          <w:sz w:val="28"/>
          <w:szCs w:val="28"/>
        </w:rPr>
        <w:t xml:space="preserve"> which emphasizes that optimizing resources and capabilities to</w:t>
      </w:r>
      <w:r w:rsidRPr="000E5369">
        <w:rPr>
          <w:rFonts w:ascii="Centaur" w:hAnsi="Centaur"/>
          <w:color w:val="FFFFFF" w:themeColor="background1"/>
          <w:sz w:val="28"/>
          <w:szCs w:val="28"/>
        </w:rPr>
        <w:t>l</w:t>
      </w:r>
      <w:r w:rsidRPr="000E5369">
        <w:rPr>
          <w:rFonts w:ascii="Centaur" w:hAnsi="Centaur"/>
          <w:sz w:val="28"/>
          <w:szCs w:val="28"/>
        </w:rPr>
        <w:t>realize</w:t>
      </w:r>
      <w:r w:rsidRPr="000E5369">
        <w:rPr>
          <w:rFonts w:ascii="Centaur" w:hAnsi="Centaur"/>
          <w:color w:val="FFFFFF" w:themeColor="background1"/>
          <w:sz w:val="28"/>
          <w:szCs w:val="28"/>
        </w:rPr>
        <w:t>l</w:t>
      </w:r>
      <w:r w:rsidRPr="000E5369">
        <w:rPr>
          <w:rFonts w:ascii="Centaur" w:hAnsi="Centaur"/>
          <w:sz w:val="28"/>
          <w:szCs w:val="28"/>
        </w:rPr>
        <w:t>innovative</w:t>
      </w:r>
      <w:r w:rsidRPr="000E5369">
        <w:rPr>
          <w:rFonts w:ascii="Centaur" w:hAnsi="Centaur"/>
          <w:color w:val="FFFFFF" w:themeColor="background1"/>
          <w:sz w:val="28"/>
          <w:szCs w:val="28"/>
        </w:rPr>
        <w:t>l</w:t>
      </w:r>
      <w:r w:rsidRPr="000E5369">
        <w:rPr>
          <w:rFonts w:ascii="Centaur" w:hAnsi="Centaur"/>
          <w:sz w:val="28"/>
          <w:szCs w:val="28"/>
        </w:rPr>
        <w:t>ideas</w:t>
      </w:r>
      <w:r w:rsidRPr="000E5369">
        <w:rPr>
          <w:rFonts w:ascii="Centaur" w:hAnsi="Centaur"/>
          <w:color w:val="FFFFFF" w:themeColor="background1"/>
          <w:sz w:val="28"/>
          <w:szCs w:val="28"/>
        </w:rPr>
        <w:t>l</w:t>
      </w:r>
      <w:r w:rsidRPr="000E5369">
        <w:rPr>
          <w:rFonts w:ascii="Centaur" w:hAnsi="Centaur"/>
          <w:sz w:val="28"/>
          <w:szCs w:val="28"/>
        </w:rPr>
        <w:t>into the real</w:t>
      </w:r>
      <w:r w:rsidRPr="000E5369">
        <w:rPr>
          <w:rFonts w:ascii="Centaur" w:hAnsi="Centaur"/>
          <w:color w:val="FFFFFF" w:themeColor="background1"/>
          <w:sz w:val="28"/>
          <w:szCs w:val="28"/>
        </w:rPr>
        <w:t>l</w:t>
      </w:r>
      <w:r w:rsidRPr="000E5369">
        <w:rPr>
          <w:rFonts w:ascii="Centaur" w:hAnsi="Centaur"/>
          <w:sz w:val="28"/>
          <w:szCs w:val="28"/>
        </w:rPr>
        <w:t>business world</w:t>
      </w:r>
      <w:r w:rsidRPr="000E5369">
        <w:rPr>
          <w:rFonts w:ascii="Centaur" w:hAnsi="Centaur"/>
          <w:color w:val="FFFFFF" w:themeColor="background1"/>
          <w:sz w:val="28"/>
          <w:szCs w:val="28"/>
        </w:rPr>
        <w:t>l</w:t>
      </w:r>
      <w:r w:rsidRPr="000E5369">
        <w:rPr>
          <w:rFonts w:ascii="Centaur" w:hAnsi="Centaur"/>
          <w:sz w:val="28"/>
          <w:szCs w:val="28"/>
        </w:rPr>
        <w:t>would create</w:t>
      </w:r>
      <w:r w:rsidRPr="000E5369">
        <w:rPr>
          <w:rFonts w:ascii="Centaur" w:hAnsi="Centaur"/>
          <w:color w:val="FFFFFF" w:themeColor="background1"/>
          <w:sz w:val="28"/>
          <w:szCs w:val="28"/>
        </w:rPr>
        <w:t>l</w:t>
      </w:r>
      <w:r w:rsidRPr="000E5369">
        <w:rPr>
          <w:rFonts w:ascii="Centaur" w:hAnsi="Centaur"/>
          <w:sz w:val="28"/>
          <w:szCs w:val="28"/>
        </w:rPr>
        <w:t>the product that is new and different. Small businesses and micro businesses will survive in the competition because of changes in the business environment, only if they have the resources and capabilities (RBV) to create a difference presenting unique characteristics compared to their competitors</w:t>
      </w:r>
      <w:r w:rsidRPr="000E5369">
        <w:rPr>
          <w:rFonts w:ascii="Centaur" w:hAnsi="Centaur"/>
          <w:color w:val="FF0000"/>
          <w:sz w:val="28"/>
          <w:szCs w:val="28"/>
        </w:rPr>
        <w:t>.</w:t>
      </w: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 xml:space="preserve">The Influence of Work Motivation on </w:t>
      </w:r>
      <w:r w:rsidRPr="000E5369">
        <w:rPr>
          <w:rFonts w:ascii="Centaur" w:hAnsi="Centaur"/>
          <w:b/>
          <w:bCs/>
          <w:noProof/>
          <w:sz w:val="28"/>
          <w:szCs w:val="28"/>
        </w:rPr>
        <w:t>Entrepreneurship Orientation</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Theproven influence</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work</w:t>
      </w:r>
      <w:r w:rsidRPr="000E5369">
        <w:rPr>
          <w:rFonts w:ascii="Centaur" w:hAnsi="Centaur"/>
          <w:color w:val="FFFFFF" w:themeColor="background1"/>
          <w:sz w:val="28"/>
          <w:szCs w:val="28"/>
        </w:rPr>
        <w:t>l</w:t>
      </w:r>
      <w:r w:rsidRPr="000E5369">
        <w:rPr>
          <w:rFonts w:ascii="Centaur" w:hAnsi="Centaur"/>
          <w:sz w:val="28"/>
          <w:szCs w:val="28"/>
        </w:rPr>
        <w:t>motivation significantly on</w:t>
      </w:r>
      <w:r w:rsidRPr="000E5369">
        <w:rPr>
          <w:rFonts w:ascii="Centaur" w:hAnsi="Centaur"/>
          <w:color w:val="FFFFFF" w:themeColor="background1"/>
          <w:sz w:val="28"/>
          <w:szCs w:val="28"/>
        </w:rPr>
        <w:t>l</w:t>
      </w:r>
      <w:r w:rsidRPr="000E5369">
        <w:rPr>
          <w:rFonts w:ascii="Centaur" w:hAnsi="Centaur"/>
          <w:noProof/>
          <w:sz w:val="28"/>
          <w:szCs w:val="28"/>
        </w:rPr>
        <w:t>Entrepreneurship Orientation</w:t>
      </w:r>
      <w:r w:rsidRPr="000E5369">
        <w:rPr>
          <w:rFonts w:ascii="Centaur" w:hAnsi="Centaur"/>
          <w:sz w:val="28"/>
          <w:szCs w:val="28"/>
        </w:rPr>
        <w:t xml:space="preserve"> indicates that the work motivation raised by SMEs is significantly enthusiastic to generate, direct, maintain attitude and behavior in running a business to serve the customers. As an indication that SME actors inspire themselves, they tend to direct the goals and achievements of the business they run, by sustaining the viability of their businessand the intensity or intention to do business in a workable manner</w:t>
      </w:r>
      <w:r w:rsidRPr="000E5369">
        <w:rPr>
          <w:rFonts w:ascii="Centaur" w:hAnsi="Centaur"/>
          <w:color w:val="FF0000"/>
          <w:sz w:val="28"/>
          <w:szCs w:val="28"/>
        </w:rPr>
        <w:t>.</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The results</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this</w:t>
      </w:r>
      <w:r w:rsidRPr="000E5369">
        <w:rPr>
          <w:rFonts w:ascii="Centaur" w:hAnsi="Centaur"/>
          <w:color w:val="FFFFFF" w:themeColor="background1"/>
          <w:sz w:val="28"/>
          <w:szCs w:val="28"/>
        </w:rPr>
        <w:t>l</w:t>
      </w:r>
      <w:r w:rsidRPr="000E5369">
        <w:rPr>
          <w:rFonts w:ascii="Centaur" w:hAnsi="Centaur"/>
          <w:sz w:val="28"/>
          <w:szCs w:val="28"/>
        </w:rPr>
        <w:t>study</w:t>
      </w:r>
      <w:r w:rsidRPr="000E5369">
        <w:rPr>
          <w:rFonts w:ascii="Centaur" w:hAnsi="Centaur"/>
          <w:color w:val="FFFFFF" w:themeColor="background1"/>
          <w:sz w:val="28"/>
          <w:szCs w:val="28"/>
        </w:rPr>
        <w:t>l</w:t>
      </w:r>
      <w:r w:rsidRPr="000E5369">
        <w:rPr>
          <w:rFonts w:ascii="Centaur" w:hAnsi="Centaur"/>
          <w:sz w:val="28"/>
          <w:szCs w:val="28"/>
        </w:rPr>
        <w:t>are consistent and in</w:t>
      </w:r>
      <w:r w:rsidRPr="000E5369">
        <w:rPr>
          <w:rFonts w:ascii="Centaur" w:hAnsi="Centaur"/>
          <w:color w:val="FFFFFF" w:themeColor="background1"/>
          <w:sz w:val="28"/>
          <w:szCs w:val="28"/>
        </w:rPr>
        <w:t>l</w:t>
      </w:r>
      <w:r w:rsidRPr="000E5369">
        <w:rPr>
          <w:rFonts w:ascii="Centaur" w:hAnsi="Centaur"/>
          <w:sz w:val="28"/>
          <w:szCs w:val="28"/>
        </w:rPr>
        <w:t>line</w:t>
      </w:r>
      <w:r w:rsidRPr="000E5369">
        <w:rPr>
          <w:rFonts w:ascii="Centaur" w:hAnsi="Centaur"/>
          <w:color w:val="FFFFFF" w:themeColor="background1"/>
          <w:sz w:val="28"/>
          <w:szCs w:val="28"/>
        </w:rPr>
        <w:t>l</w:t>
      </w:r>
      <w:r w:rsidRPr="000E5369">
        <w:rPr>
          <w:rFonts w:ascii="Centaur" w:hAnsi="Centaur"/>
          <w:sz w:val="28"/>
          <w:szCs w:val="28"/>
        </w:rPr>
        <w:t>with</w:t>
      </w:r>
      <w:r w:rsidRPr="000E5369">
        <w:rPr>
          <w:rFonts w:ascii="Centaur" w:hAnsi="Centaur"/>
          <w:color w:val="FFFFFF" w:themeColor="background1"/>
          <w:sz w:val="28"/>
          <w:szCs w:val="28"/>
        </w:rPr>
        <w:t>l</w:t>
      </w: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resource-based</w:t>
      </w:r>
      <w:r w:rsidRPr="000E5369">
        <w:rPr>
          <w:rFonts w:ascii="Centaur" w:hAnsi="Centaur"/>
          <w:color w:val="FFFFFF" w:themeColor="background1"/>
          <w:sz w:val="28"/>
          <w:szCs w:val="28"/>
        </w:rPr>
        <w:t>l</w:t>
      </w:r>
      <w:r w:rsidRPr="000E5369">
        <w:rPr>
          <w:rFonts w:ascii="Centaur" w:hAnsi="Centaur"/>
          <w:sz w:val="28"/>
          <w:szCs w:val="28"/>
        </w:rPr>
        <w:t>view that contributes to most research</w:t>
      </w:r>
      <w:r w:rsidRPr="000E5369">
        <w:rPr>
          <w:rFonts w:ascii="Centaur" w:hAnsi="Centaur"/>
          <w:color w:val="FFFFFF" w:themeColor="background1"/>
          <w:sz w:val="28"/>
          <w:szCs w:val="28"/>
        </w:rPr>
        <w:t>l</w:t>
      </w:r>
      <w:r w:rsidRPr="000E5369">
        <w:rPr>
          <w:rFonts w:ascii="Centaur" w:hAnsi="Centaur"/>
          <w:sz w:val="28"/>
          <w:szCs w:val="28"/>
        </w:rPr>
        <w:t>on</w:t>
      </w:r>
      <w:r w:rsidRPr="000E5369">
        <w:rPr>
          <w:rFonts w:ascii="Centaur" w:hAnsi="Centaur"/>
          <w:color w:val="FFFFFF" w:themeColor="background1"/>
          <w:sz w:val="28"/>
          <w:szCs w:val="28"/>
        </w:rPr>
        <w:t>l</w:t>
      </w:r>
      <w:r w:rsidRPr="000E5369">
        <w:rPr>
          <w:rFonts w:ascii="Centaur" w:hAnsi="Centaur"/>
          <w:sz w:val="28"/>
          <w:szCs w:val="28"/>
        </w:rPr>
        <w:t xml:space="preserve">diversification strategies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{"citationItems":[{"id":"ITEM-1","itemData":{"ISSN":"01432095, 10970266","abstract":"[Diversification has emerged as a central topic of research in strategic management. Although this topic has been widely and intensively studied by scholars from other areas such as industrial organization economics, financial economics, organization theory, and marketing, a synthesis of these diverse streams of research is lacking This paper attempts such a synthesis with a view to fostering further strategic management research in this area by taking a multi-disciplinary perspective on diversification. A wide-ranging search of the literature led to the development of an overarching research framework that facilitates the classification of a vast body of literature Proceeding from the framework, a critique of the literature is performed with a particular emphasis on studies by strategic management researchers Five key conceptual and methodological problems are identified and discussed. Suggestions are offered for future research on diversification]","author":[{"dropping-particle":"","family":"Ramanujam","given":"Vasudevan","non-dropping-particle":"","parse-names":false,"suffix":""},{"dropping-particle":"","family":"Varadarajan","given":"P","non-dropping-particle":"","parse-names":false,"suffix":""}],"container-title":"Strategic Management Journal","id":"ITEM-1","issue":"6","issued":{"date-parts":[["1989","10","3"]]},"page":"523-551","publisher":"Wiley","title":"Research on Corporate Diversification: A Synthesis","type":"article-journal","volume":"10"},"uris":["http://www.mendeley.com/documents/?uuid=7f39eed6-1976-4661-a45b-a157e82b75c0"]}],"mendeley":{"formattedCitation":"(Ramanujam and Varadarajan 1989)","plainTextFormattedCitation":"(Ramanujam and Varadarajan 1989)","previouslyFormattedCitation":"(Ramanujam and Varadarajan 1989)"},"properties":{"noteIndex":0},"schema":"https://github.com/citation-style-language/schema/raw/master/csl-citation.json"}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(Ramanujam &amp; Varadarajan 1989)</w:t>
      </w:r>
      <w:r w:rsidR="008E716B" w:rsidRPr="000E5369">
        <w:rPr>
          <w:rFonts w:ascii="Centaur" w:hAnsi="Centaur"/>
          <w:sz w:val="28"/>
          <w:szCs w:val="28"/>
        </w:rPr>
        <w:fldChar w:fldCharType="end"/>
      </w:r>
      <w:r w:rsidRPr="000E5369">
        <w:rPr>
          <w:rFonts w:ascii="Centaur" w:hAnsi="Centaur"/>
          <w:sz w:val="28"/>
          <w:szCs w:val="28"/>
        </w:rPr>
        <w:t xml:space="preserve"> in the 4</w:t>
      </w:r>
      <w:r w:rsidRPr="000E5369">
        <w:rPr>
          <w:rFonts w:ascii="Centaur" w:hAnsi="Centaur"/>
          <w:color w:val="FFFFFF" w:themeColor="background1"/>
          <w:sz w:val="28"/>
          <w:szCs w:val="28"/>
        </w:rPr>
        <w:t>l</w:t>
      </w:r>
      <w:r w:rsidRPr="000E5369">
        <w:rPr>
          <w:rFonts w:ascii="Centaur" w:hAnsi="Centaur"/>
          <w:sz w:val="28"/>
          <w:szCs w:val="28"/>
        </w:rPr>
        <w:t xml:space="preserve">areas. </w:t>
      </w:r>
      <w:r w:rsidRPr="000E5369">
        <w:rPr>
          <w:rFonts w:ascii="Centaur" w:hAnsi="Centaur"/>
          <w:color w:val="FFFFFF" w:themeColor="background1"/>
          <w:sz w:val="28"/>
          <w:szCs w:val="28"/>
        </w:rPr>
        <w:t>“</w:t>
      </w:r>
      <w:r w:rsidRPr="000E5369">
        <w:rPr>
          <w:rFonts w:ascii="Centaur" w:hAnsi="Centaur"/>
          <w:sz w:val="28"/>
          <w:szCs w:val="28"/>
        </w:rPr>
        <w:t>First, the resource-based approach regards the limitations of diversification growth (through internal development, mergers, and acquisitions). Second, the resource-based approach considers important motivations for diversification. Third, the resource-based approach provides a theoretical perspective for estimating the direction of diversification. Fourth, the resource-based approach provides a theoretical rationale for estimating the high performance of certain categories related to diversification.</w:t>
      </w:r>
      <w:r w:rsidRPr="000E5369">
        <w:rPr>
          <w:rFonts w:ascii="Centaur" w:hAnsi="Centaur"/>
          <w:color w:val="FFFFFF" w:themeColor="background1"/>
          <w:sz w:val="28"/>
          <w:szCs w:val="28"/>
        </w:rPr>
        <w:t>”</w:t>
      </w:r>
    </w:p>
    <w:p w:rsidR="00497FE6" w:rsidRPr="000E5369" w:rsidRDefault="00497FE6" w:rsidP="007F35E9">
      <w:pPr>
        <w:spacing w:before="0" w:line="240" w:lineRule="auto"/>
        <w:ind w:left="0" w:firstLine="900"/>
        <w:jc w:val="both"/>
        <w:rPr>
          <w:rFonts w:ascii="Centaur" w:hAnsi="Centaur"/>
          <w:sz w:val="28"/>
          <w:szCs w:val="28"/>
          <w:lang w:val="en-US"/>
        </w:rPr>
      </w:pPr>
      <w:r w:rsidRPr="000E5369">
        <w:rPr>
          <w:rFonts w:ascii="Centaur" w:hAnsi="Centaur"/>
          <w:sz w:val="28"/>
          <w:szCs w:val="28"/>
        </w:rPr>
        <w:t xml:space="preserve">Entrepreneurs, who are action-oriented and highly motivated, are willing to accept risks in achieving their goals. To become a successful entrepreneur, patterns of attitude, behavior, and views are deemed essential to produce bright ideas and realize them into real business. </w:t>
      </w:r>
      <w:r w:rsidRPr="000E5369">
        <w:rPr>
          <w:rFonts w:ascii="Centaur" w:hAnsi="Centaur"/>
          <w:color w:val="FFFFFF" w:themeColor="background1"/>
          <w:sz w:val="28"/>
          <w:szCs w:val="28"/>
        </w:rPr>
        <w:t>“</w:t>
      </w:r>
      <w:r w:rsidRPr="000E5369">
        <w:rPr>
          <w:rFonts w:ascii="Centaur" w:hAnsi="Centaur"/>
          <w:sz w:val="28"/>
          <w:szCs w:val="28"/>
        </w:rPr>
        <w:t>Based on the resource-based approach, the source of sustainable competitive advantage for companies includes resources that are valuable, rare, uncopiable, and irreplaceable. However, the results of this study are not in line with the</w:t>
      </w:r>
      <w:r w:rsidRPr="000E5369">
        <w:rPr>
          <w:rFonts w:ascii="Centaur" w:hAnsi="Centaur"/>
          <w:color w:val="FFFFFF" w:themeColor="background1"/>
          <w:sz w:val="28"/>
          <w:szCs w:val="28"/>
        </w:rPr>
        <w:t>”</w:t>
      </w:r>
      <w:r w:rsidRPr="000E5369">
        <w:rPr>
          <w:rFonts w:ascii="Centaur" w:hAnsi="Centaur"/>
          <w:sz w:val="28"/>
          <w:szCs w:val="28"/>
        </w:rPr>
        <w:t>results</w:t>
      </w:r>
      <w:r w:rsidRPr="000E5369">
        <w:rPr>
          <w:rFonts w:ascii="Centaur" w:hAnsi="Centaur"/>
          <w:color w:val="FFFFFF" w:themeColor="background1"/>
          <w:sz w:val="28"/>
          <w:szCs w:val="28"/>
        </w:rPr>
        <w:t>l</w:t>
      </w:r>
      <w:r w:rsidRPr="000E5369">
        <w:rPr>
          <w:rFonts w:ascii="Centaur" w:hAnsi="Centaur"/>
          <w:sz w:val="28"/>
          <w:szCs w:val="28"/>
        </w:rPr>
        <w:t>of an empirical study conducted</w:t>
      </w:r>
      <w:r w:rsidRPr="000E5369">
        <w:rPr>
          <w:rFonts w:ascii="Centaur" w:hAnsi="Centaur"/>
          <w:color w:val="FFFFFF" w:themeColor="background1"/>
          <w:sz w:val="28"/>
          <w:szCs w:val="28"/>
        </w:rPr>
        <w:t>l</w:t>
      </w:r>
      <w:r w:rsidRPr="000E5369">
        <w:rPr>
          <w:rFonts w:ascii="Centaur" w:hAnsi="Centaur"/>
          <w:sz w:val="28"/>
          <w:szCs w:val="28"/>
        </w:rPr>
        <w:t xml:space="preserve">by </w:t>
      </w:r>
      <w:r w:rsidRPr="000E5369">
        <w:rPr>
          <w:rFonts w:ascii="Centaur" w:hAnsi="Centaur"/>
          <w:sz w:val="28"/>
          <w:szCs w:val="28"/>
        </w:rPr>
        <w:lastRenderedPageBreak/>
        <w:t>Purwanto and Trihudiyatmanto (2018) thatin fact, entrepreneurial orientation has a significant effect towards work motivation.</w:t>
      </w:r>
    </w:p>
    <w:p w:rsidR="007F35E9" w:rsidRPr="000E5369" w:rsidRDefault="007F35E9" w:rsidP="007F35E9">
      <w:pPr>
        <w:spacing w:before="0" w:line="240" w:lineRule="auto"/>
        <w:ind w:left="0" w:firstLine="900"/>
        <w:jc w:val="both"/>
        <w:rPr>
          <w:rFonts w:ascii="Centaur" w:hAnsi="Centaur"/>
          <w:color w:val="FF0000"/>
          <w:sz w:val="28"/>
          <w:szCs w:val="28"/>
          <w:lang w:val="en-US"/>
        </w:rPr>
      </w:pPr>
    </w:p>
    <w:p w:rsidR="00497FE6" w:rsidRPr="000E5369" w:rsidRDefault="00497FE6" w:rsidP="007F35E9">
      <w:pPr>
        <w:spacing w:before="0" w:line="240" w:lineRule="auto"/>
        <w:ind w:left="0" w:firstLine="0"/>
        <w:contextualSpacing/>
        <w:rPr>
          <w:rFonts w:ascii="Centaur" w:hAnsi="Centaur"/>
          <w:b/>
          <w:sz w:val="28"/>
          <w:szCs w:val="28"/>
        </w:rPr>
      </w:pPr>
      <w:r w:rsidRPr="000E5369">
        <w:rPr>
          <w:rFonts w:ascii="Centaur" w:hAnsi="Centaur"/>
          <w:b/>
          <w:sz w:val="28"/>
          <w:szCs w:val="28"/>
        </w:rPr>
        <w:t xml:space="preserve">The Influence </w:t>
      </w:r>
      <w:r w:rsidR="007F35E9" w:rsidRPr="000E5369">
        <w:rPr>
          <w:rFonts w:ascii="Centaur" w:hAnsi="Centaur"/>
          <w:b/>
          <w:sz w:val="28"/>
          <w:szCs w:val="28"/>
          <w:lang w:val="en-US"/>
        </w:rPr>
        <w:t>o</w:t>
      </w:r>
      <w:r w:rsidR="007F35E9" w:rsidRPr="000E5369">
        <w:rPr>
          <w:rFonts w:ascii="Centaur" w:hAnsi="Centaur"/>
          <w:b/>
          <w:sz w:val="28"/>
          <w:szCs w:val="28"/>
        </w:rPr>
        <w:t xml:space="preserve">f </w:t>
      </w:r>
      <w:r w:rsidRPr="000E5369">
        <w:rPr>
          <w:rFonts w:ascii="Centaur" w:hAnsi="Centaur"/>
          <w:b/>
          <w:noProof/>
          <w:sz w:val="28"/>
          <w:szCs w:val="28"/>
        </w:rPr>
        <w:t>Entrepreneurship Orientation</w:t>
      </w:r>
      <w:r w:rsidRPr="000E5369">
        <w:rPr>
          <w:rFonts w:ascii="Centaur" w:hAnsi="Centaur"/>
          <w:b/>
          <w:sz w:val="28"/>
          <w:szCs w:val="28"/>
        </w:rPr>
        <w:t xml:space="preserve"> </w:t>
      </w:r>
      <w:r w:rsidR="007F35E9" w:rsidRPr="000E5369">
        <w:rPr>
          <w:rFonts w:ascii="Centaur" w:hAnsi="Centaur"/>
          <w:b/>
          <w:sz w:val="28"/>
          <w:szCs w:val="28"/>
          <w:lang w:val="en-US"/>
        </w:rPr>
        <w:t>o</w:t>
      </w:r>
      <w:r w:rsidR="007F35E9" w:rsidRPr="000E5369">
        <w:rPr>
          <w:rFonts w:ascii="Centaur" w:hAnsi="Centaur"/>
          <w:b/>
          <w:sz w:val="28"/>
          <w:szCs w:val="28"/>
        </w:rPr>
        <w:t>n Business Performance.</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 xml:space="preserve">The proven influence of Entrepreneurship Orientation is significant on business performance as a research hypothesis of micro business actors, marking that the Entrepreneurship Orientation owned by SMEs is indicated by a strong self-confidence, initiative driven by an energetic spirit in running business, a high achievement motive, a leadership spirit, and risk-taking attitude. SMEs have an entrepreneurial orientation, proved by the confidence and initiative with enthusiasm to have a strong will to do business, high aspirations to advance and develop business, and courage to be different with the spirit in facing challenges amidst the tight competition. </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The results</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this</w:t>
      </w:r>
      <w:r w:rsidRPr="000E5369">
        <w:rPr>
          <w:rFonts w:ascii="Centaur" w:hAnsi="Centaur"/>
          <w:color w:val="FFFFFF" w:themeColor="background1"/>
          <w:sz w:val="28"/>
          <w:szCs w:val="28"/>
        </w:rPr>
        <w:t>l</w:t>
      </w:r>
      <w:r w:rsidRPr="000E5369">
        <w:rPr>
          <w:rFonts w:ascii="Centaur" w:hAnsi="Centaur"/>
          <w:sz w:val="28"/>
          <w:szCs w:val="28"/>
        </w:rPr>
        <w:t>study</w:t>
      </w:r>
      <w:r w:rsidRPr="000E5369">
        <w:rPr>
          <w:rFonts w:ascii="Centaur" w:hAnsi="Centaur"/>
          <w:color w:val="FFFFFF" w:themeColor="background1"/>
          <w:sz w:val="28"/>
          <w:szCs w:val="28"/>
        </w:rPr>
        <w:t>l</w:t>
      </w:r>
      <w:r w:rsidRPr="000E5369">
        <w:rPr>
          <w:rFonts w:ascii="Centaur" w:hAnsi="Centaur"/>
          <w:sz w:val="28"/>
          <w:szCs w:val="28"/>
        </w:rPr>
        <w:t>are</w:t>
      </w:r>
      <w:r w:rsidRPr="000E5369">
        <w:rPr>
          <w:rFonts w:ascii="Centaur" w:hAnsi="Centaur"/>
          <w:color w:val="FFFFFF" w:themeColor="background1"/>
          <w:sz w:val="28"/>
          <w:szCs w:val="28"/>
        </w:rPr>
        <w:t>l</w:t>
      </w:r>
      <w:r w:rsidRPr="000E5369">
        <w:rPr>
          <w:rFonts w:ascii="Centaur" w:hAnsi="Centaur"/>
          <w:sz w:val="28"/>
          <w:szCs w:val="28"/>
        </w:rPr>
        <w:t>in</w:t>
      </w:r>
      <w:r w:rsidRPr="000E5369">
        <w:rPr>
          <w:rFonts w:ascii="Centaur" w:hAnsi="Centaur"/>
          <w:color w:val="FFFFFF" w:themeColor="background1"/>
          <w:sz w:val="28"/>
          <w:szCs w:val="28"/>
        </w:rPr>
        <w:t>l</w:t>
      </w:r>
      <w:r w:rsidRPr="000E5369">
        <w:rPr>
          <w:rFonts w:ascii="Centaur" w:hAnsi="Centaur"/>
          <w:sz w:val="28"/>
          <w:szCs w:val="28"/>
        </w:rPr>
        <w:t>line</w:t>
      </w:r>
      <w:r w:rsidRPr="000E5369">
        <w:rPr>
          <w:rFonts w:ascii="Centaur" w:hAnsi="Centaur"/>
          <w:color w:val="FFFFFF" w:themeColor="background1"/>
          <w:sz w:val="28"/>
          <w:szCs w:val="28"/>
        </w:rPr>
        <w:t>l</w:t>
      </w:r>
      <w:r w:rsidRPr="000E5369">
        <w:rPr>
          <w:rFonts w:ascii="Centaur" w:hAnsi="Centaur"/>
          <w:sz w:val="28"/>
          <w:szCs w:val="28"/>
        </w:rPr>
        <w:t>with</w:t>
      </w:r>
      <w:r w:rsidRPr="000E5369">
        <w:rPr>
          <w:rFonts w:ascii="Centaur" w:hAnsi="Centaur"/>
          <w:color w:val="FFFFFF" w:themeColor="background1"/>
          <w:sz w:val="28"/>
          <w:szCs w:val="28"/>
        </w:rPr>
        <w:t>l</w:t>
      </w:r>
      <w:r w:rsidRPr="000E5369">
        <w:rPr>
          <w:rFonts w:ascii="Centaur" w:hAnsi="Centaur"/>
          <w:sz w:val="28"/>
          <w:szCs w:val="28"/>
        </w:rPr>
        <w:t>the RBV theory that</w:t>
      </w:r>
      <w:r w:rsidRPr="000E5369">
        <w:rPr>
          <w:rFonts w:ascii="Centaur" w:hAnsi="Centaur"/>
          <w:color w:val="FFFFFF" w:themeColor="background1"/>
          <w:sz w:val="28"/>
          <w:szCs w:val="28"/>
        </w:rPr>
        <w:t>l</w:t>
      </w:r>
      <w:r w:rsidRPr="000E5369">
        <w:rPr>
          <w:rFonts w:ascii="Centaur" w:hAnsi="Centaur"/>
          <w:sz w:val="28"/>
          <w:szCs w:val="28"/>
        </w:rPr>
        <w:t>resource-based</w:t>
      </w:r>
      <w:r w:rsidRPr="000E5369">
        <w:rPr>
          <w:rFonts w:ascii="Centaur" w:hAnsi="Centaur"/>
          <w:color w:val="FFFFFF" w:themeColor="background1"/>
          <w:sz w:val="28"/>
          <w:szCs w:val="28"/>
        </w:rPr>
        <w:t>l</w:t>
      </w:r>
      <w:r w:rsidRPr="000E5369">
        <w:rPr>
          <w:rFonts w:ascii="Centaur" w:hAnsi="Centaur"/>
          <w:sz w:val="28"/>
          <w:szCs w:val="28"/>
        </w:rPr>
        <w:t xml:space="preserve">business management provides an alternative solution for SMEs, as such management is potential to create special competencies and to provide strategic choices to achieve excellence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{"citationItems":[{"id":"ITEM-1","itemData":{"author":[{"dropping-particle":"","family":"Barney","given":"Jay B.","non-dropping-particle":"","parse-names":false,"suffix":""}],"container-title":"The academy of Management review","id":"ITEM-1","issue":"1","issued":{"date-parts":[["2001"]]},"page":"41 - 56","title":"Is The Resource Base View a Useful Perspective For Startegic management Research? Yes","type":"article-journal","volume":"26"},"uris":["http://www.mendeley.com/documents/?uuid=07679881-fc3f-448d-b0a8-57442a1ee65b"]},{"id":"ITEM-2","itemData":{"author":[{"dropping-particle":"","family":"Grant","given":"Robert M.","non-dropping-particle":"","parse-names":false,"suffix":""}],"edition":"7th Editio","id":"ITEM-2","issued":{"date-parts":[["2001"]]},"number-of-pages":"822","publisher":"John Wiley and Sons Ltd.","title":"Contemporary Strategy Analysis: Text and Cases","type":"book"},"uris":["http://www.mendeley.com/documents/?uuid=dace669e-9118-4953-80fa-0c708b5e1acf"]}],"mendeley":{"formattedCitation":"(Barney 2001; Grant 2001)","plainTextFormattedCitation":"(Barney 2001; Grant 2001)","previouslyFormattedCitation":"(Barney 2001; Grant 2001)"},"properties":{"noteIndex":0},"schema":"https://github.com/citation-style-language/schema/raw/master/csl-citation.json"}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(Barney 2001; Grant 2001)</w:t>
      </w:r>
      <w:r w:rsidR="008E716B" w:rsidRPr="000E5369">
        <w:rPr>
          <w:rFonts w:ascii="Centaur" w:hAnsi="Centaur"/>
          <w:sz w:val="28"/>
          <w:szCs w:val="28"/>
        </w:rPr>
        <w:fldChar w:fldCharType="end"/>
      </w:r>
      <w:r w:rsidRPr="000E5369">
        <w:rPr>
          <w:rFonts w:ascii="Centaur" w:hAnsi="Centaur"/>
          <w:sz w:val="28"/>
          <w:szCs w:val="28"/>
        </w:rPr>
        <w:t>. Achieving sustainable competitive advantage is inseparable from the resource-based view (RBV) which directs company management</w:t>
      </w:r>
      <w:r w:rsidRPr="000E5369">
        <w:rPr>
          <w:rFonts w:ascii="Centaur" w:hAnsi="Centaur"/>
          <w:color w:val="FFFFFF" w:themeColor="background1"/>
          <w:sz w:val="28"/>
          <w:szCs w:val="28"/>
        </w:rPr>
        <w:t>l</w:t>
      </w:r>
      <w:r w:rsidRPr="000E5369">
        <w:rPr>
          <w:rFonts w:ascii="Centaur" w:hAnsi="Centaur"/>
          <w:sz w:val="28"/>
          <w:szCs w:val="28"/>
        </w:rPr>
        <w:t>to</w:t>
      </w:r>
      <w:r w:rsidRPr="000E5369">
        <w:rPr>
          <w:rFonts w:ascii="Centaur" w:hAnsi="Centaur"/>
          <w:color w:val="FFFFFF" w:themeColor="background1"/>
          <w:sz w:val="28"/>
          <w:szCs w:val="28"/>
        </w:rPr>
        <w:t>l</w:t>
      </w:r>
      <w:r w:rsidRPr="000E5369">
        <w:rPr>
          <w:rFonts w:ascii="Centaur" w:hAnsi="Centaur"/>
          <w:sz w:val="28"/>
          <w:szCs w:val="28"/>
        </w:rPr>
        <w:t>identify,</w:t>
      </w:r>
      <w:r w:rsidRPr="000E5369">
        <w:rPr>
          <w:rFonts w:ascii="Centaur" w:hAnsi="Centaur"/>
          <w:color w:val="FFFFFF" w:themeColor="background1"/>
          <w:sz w:val="28"/>
          <w:szCs w:val="28"/>
        </w:rPr>
        <w:t xml:space="preserve"> l</w:t>
      </w:r>
      <w:r w:rsidRPr="000E5369">
        <w:rPr>
          <w:rFonts w:ascii="Centaur" w:hAnsi="Centaur"/>
          <w:sz w:val="28"/>
          <w:szCs w:val="28"/>
        </w:rPr>
        <w:t>control,</w:t>
      </w:r>
      <w:r w:rsidRPr="000E5369">
        <w:rPr>
          <w:rFonts w:ascii="Centaur" w:hAnsi="Centaur"/>
          <w:color w:val="FFFFFF" w:themeColor="background1"/>
          <w:sz w:val="28"/>
          <w:szCs w:val="28"/>
        </w:rPr>
        <w:t xml:space="preserve"> l</w:t>
      </w:r>
      <w:r w:rsidRPr="000E5369">
        <w:rPr>
          <w:rFonts w:ascii="Centaur" w:hAnsi="Centaur"/>
          <w:sz w:val="28"/>
          <w:szCs w:val="28"/>
        </w:rPr>
        <w:t>and</w:t>
      </w:r>
      <w:r w:rsidRPr="000E5369">
        <w:rPr>
          <w:rFonts w:ascii="Centaur" w:hAnsi="Centaur"/>
          <w:color w:val="FFFFFF" w:themeColor="background1"/>
          <w:sz w:val="28"/>
          <w:szCs w:val="28"/>
        </w:rPr>
        <w:t>l</w:t>
      </w:r>
      <w:r w:rsidRPr="000E5369">
        <w:rPr>
          <w:rFonts w:ascii="Centaur" w:hAnsi="Centaur"/>
          <w:sz w:val="28"/>
          <w:szCs w:val="28"/>
        </w:rPr>
        <w:t>develop</w:t>
      </w:r>
      <w:r w:rsidRPr="000E5369">
        <w:rPr>
          <w:rFonts w:ascii="Centaur" w:hAnsi="Centaur"/>
          <w:color w:val="FFFFFF" w:themeColor="background1"/>
          <w:sz w:val="28"/>
          <w:szCs w:val="28"/>
        </w:rPr>
        <w:t>l</w:t>
      </w:r>
      <w:r w:rsidRPr="000E5369">
        <w:rPr>
          <w:rFonts w:ascii="Centaur" w:hAnsi="Centaur"/>
          <w:sz w:val="28"/>
          <w:szCs w:val="28"/>
        </w:rPr>
        <w:t>strategic</w:t>
      </w:r>
      <w:r w:rsidRPr="000E5369">
        <w:rPr>
          <w:rFonts w:ascii="Centaur" w:hAnsi="Centaur"/>
          <w:color w:val="FFFFFF" w:themeColor="background1"/>
          <w:sz w:val="28"/>
          <w:szCs w:val="28"/>
        </w:rPr>
        <w:t>l</w:t>
      </w:r>
      <w:r w:rsidRPr="000E5369">
        <w:rPr>
          <w:rFonts w:ascii="Centaur" w:hAnsi="Centaur"/>
          <w:sz w:val="28"/>
          <w:szCs w:val="28"/>
        </w:rPr>
        <w:t>resources</w:t>
      </w:r>
      <w:r w:rsidRPr="000E5369">
        <w:rPr>
          <w:rFonts w:ascii="Centaur" w:hAnsi="Centaur"/>
          <w:color w:val="FFFFFF" w:themeColor="background1"/>
          <w:sz w:val="28"/>
          <w:szCs w:val="28"/>
        </w:rPr>
        <w:t>l</w:t>
      </w:r>
      <w:r w:rsidRPr="000E5369">
        <w:rPr>
          <w:rFonts w:ascii="Centaur" w:hAnsi="Centaur"/>
          <w:sz w:val="28"/>
          <w:szCs w:val="28"/>
        </w:rPr>
        <w:t>in order</w:t>
      </w:r>
      <w:r w:rsidRPr="000E5369">
        <w:rPr>
          <w:rFonts w:ascii="Centaur" w:hAnsi="Centaur"/>
          <w:color w:val="FFFFFF" w:themeColor="background1"/>
          <w:sz w:val="28"/>
          <w:szCs w:val="28"/>
        </w:rPr>
        <w:t>l</w:t>
      </w:r>
      <w:r w:rsidRPr="000E5369">
        <w:rPr>
          <w:rFonts w:ascii="Centaur" w:hAnsi="Centaur"/>
          <w:sz w:val="28"/>
          <w:szCs w:val="28"/>
        </w:rPr>
        <w:t>to</w:t>
      </w:r>
      <w:r w:rsidRPr="000E5369">
        <w:rPr>
          <w:rFonts w:ascii="Centaur" w:hAnsi="Centaur"/>
          <w:color w:val="FFFFFF" w:themeColor="background1"/>
          <w:sz w:val="28"/>
          <w:szCs w:val="28"/>
        </w:rPr>
        <w:t>l</w:t>
      </w:r>
      <w:r w:rsidRPr="000E5369">
        <w:rPr>
          <w:rFonts w:ascii="Centaur" w:hAnsi="Centaur"/>
          <w:sz w:val="28"/>
          <w:szCs w:val="28"/>
        </w:rPr>
        <w:t>produce</w:t>
      </w:r>
      <w:r w:rsidRPr="000E5369">
        <w:rPr>
          <w:rFonts w:ascii="Centaur" w:hAnsi="Centaur"/>
          <w:color w:val="FFFFFF" w:themeColor="background1"/>
          <w:sz w:val="28"/>
          <w:szCs w:val="28"/>
        </w:rPr>
        <w:t>l</w:t>
      </w:r>
      <w:r w:rsidRPr="000E5369">
        <w:rPr>
          <w:rFonts w:ascii="Centaur" w:hAnsi="Centaur"/>
          <w:sz w:val="28"/>
          <w:szCs w:val="28"/>
        </w:rPr>
        <w:t>optimal</w:t>
      </w:r>
      <w:r w:rsidRPr="000E5369">
        <w:rPr>
          <w:rFonts w:ascii="Centaur" w:hAnsi="Centaur"/>
          <w:color w:val="FFFFFF" w:themeColor="background1"/>
          <w:sz w:val="28"/>
          <w:szCs w:val="28"/>
        </w:rPr>
        <w:t>l</w:t>
      </w:r>
      <w:r w:rsidRPr="000E5369">
        <w:rPr>
          <w:rFonts w:ascii="Centaur" w:hAnsi="Centaur"/>
          <w:sz w:val="28"/>
          <w:szCs w:val="28"/>
        </w:rPr>
        <w:t xml:space="preserve">performance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{"citationItems":[{"id":"ITEM-1","itemData":{"author":[{"dropping-particle":"","family":"Barney","given":"Jay B.","non-dropping-particle":"","parse-names":false,"suffix":""}],"container-title":"The academy of Management review","id":"ITEM-1","issue":"1","issued":{"date-parts":[["2001"]]},"page":"41 - 56","title":"Is The Resource Base View a Useful Perspective For Startegic management Research? Yes","type":"article-journal","volume":"26"},"uris":["http://www.mendeley.com/documents/?uuid=07679881-fc3f-448d-b0a8-57442a1ee65b"]}],"mendeley":{"formattedCitation":"(Barney 2001)","plainTextFormattedCitation":"(Barney 2001)","previouslyFormattedCitation":"(Barney 2001)"},"properties":{"noteIndex":0},"schema":"https://github.com/citation-style-language/schema/raw/master/csl-citation.json"}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(Barney 2001)</w:t>
      </w:r>
      <w:r w:rsidR="008E716B" w:rsidRPr="000E5369">
        <w:rPr>
          <w:rFonts w:ascii="Centaur" w:hAnsi="Centaur"/>
          <w:sz w:val="28"/>
          <w:szCs w:val="28"/>
        </w:rPr>
        <w:fldChar w:fldCharType="end"/>
      </w:r>
      <w:r w:rsidRPr="000E5369">
        <w:rPr>
          <w:rFonts w:ascii="Centaur" w:hAnsi="Centaur"/>
          <w:sz w:val="28"/>
          <w:szCs w:val="28"/>
        </w:rPr>
        <w:t>.</w:t>
      </w:r>
    </w:p>
    <w:p w:rsidR="00497FE6" w:rsidRPr="000E5369" w:rsidRDefault="00497FE6" w:rsidP="007F35E9">
      <w:pPr>
        <w:spacing w:before="0" w:line="240" w:lineRule="auto"/>
        <w:ind w:left="0" w:firstLine="900"/>
        <w:jc w:val="both"/>
        <w:rPr>
          <w:rFonts w:ascii="Centaur" w:hAnsi="Centaur"/>
          <w:color w:val="FF0000"/>
          <w:sz w:val="28"/>
          <w:szCs w:val="28"/>
          <w:lang w:val="en-US"/>
        </w:rPr>
      </w:pPr>
      <w:r w:rsidRPr="000E5369">
        <w:rPr>
          <w:rFonts w:ascii="Centaur" w:hAnsi="Centaur"/>
          <w:sz w:val="28"/>
          <w:szCs w:val="28"/>
        </w:rPr>
        <w:t>In addition, the</w:t>
      </w:r>
      <w:r w:rsidRPr="000E5369">
        <w:rPr>
          <w:rFonts w:ascii="Centaur" w:hAnsi="Centaur"/>
          <w:color w:val="FFFFFF" w:themeColor="background1"/>
          <w:sz w:val="28"/>
          <w:szCs w:val="28"/>
        </w:rPr>
        <w:t>l</w:t>
      </w:r>
      <w:r w:rsidRPr="000E5369">
        <w:rPr>
          <w:rFonts w:ascii="Centaur" w:hAnsi="Centaur"/>
          <w:sz w:val="28"/>
          <w:szCs w:val="28"/>
        </w:rPr>
        <w:t>results</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this</w:t>
      </w:r>
      <w:r w:rsidRPr="000E5369">
        <w:rPr>
          <w:rFonts w:ascii="Centaur" w:hAnsi="Centaur"/>
          <w:color w:val="FFFFFF" w:themeColor="background1"/>
          <w:sz w:val="28"/>
          <w:szCs w:val="28"/>
        </w:rPr>
        <w:t>l</w:t>
      </w:r>
      <w:r w:rsidRPr="000E5369">
        <w:rPr>
          <w:rFonts w:ascii="Centaur" w:hAnsi="Centaur"/>
          <w:sz w:val="28"/>
          <w:szCs w:val="28"/>
        </w:rPr>
        <w:t>study</w:t>
      </w:r>
      <w:r w:rsidRPr="000E5369">
        <w:rPr>
          <w:rFonts w:ascii="Centaur" w:hAnsi="Centaur"/>
          <w:color w:val="FFFFFF" w:themeColor="background1"/>
          <w:sz w:val="28"/>
          <w:szCs w:val="28"/>
        </w:rPr>
        <w:t>l</w:t>
      </w:r>
      <w:r w:rsidRPr="000E5369">
        <w:rPr>
          <w:rFonts w:ascii="Centaur" w:hAnsi="Centaur"/>
          <w:sz w:val="28"/>
          <w:szCs w:val="28"/>
        </w:rPr>
        <w:t>are</w:t>
      </w:r>
      <w:r w:rsidRPr="000E5369">
        <w:rPr>
          <w:rFonts w:ascii="Centaur" w:hAnsi="Centaur"/>
          <w:color w:val="FFFFFF" w:themeColor="background1"/>
          <w:sz w:val="28"/>
          <w:szCs w:val="28"/>
        </w:rPr>
        <w:t>l</w:t>
      </w:r>
      <w:r w:rsidRPr="000E5369">
        <w:rPr>
          <w:rFonts w:ascii="Centaur" w:hAnsi="Centaur"/>
          <w:sz w:val="28"/>
          <w:szCs w:val="28"/>
        </w:rPr>
        <w:t>in accordance with</w:t>
      </w:r>
      <w:r w:rsidRPr="000E5369">
        <w:rPr>
          <w:rFonts w:ascii="Centaur" w:hAnsi="Centaur"/>
          <w:color w:val="FFFFFF" w:themeColor="background1"/>
          <w:sz w:val="28"/>
          <w:szCs w:val="28"/>
        </w:rPr>
        <w:t>l</w:t>
      </w: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results</w:t>
      </w:r>
      <w:r w:rsidRPr="000E5369">
        <w:rPr>
          <w:rFonts w:ascii="Centaur" w:hAnsi="Centaur"/>
          <w:color w:val="FFFFFF" w:themeColor="background1"/>
          <w:sz w:val="28"/>
          <w:szCs w:val="28"/>
        </w:rPr>
        <w:t>l</w:t>
      </w:r>
      <w:r w:rsidRPr="000E5369">
        <w:rPr>
          <w:rFonts w:ascii="Centaur" w:hAnsi="Centaur"/>
          <w:sz w:val="28"/>
          <w:szCs w:val="28"/>
        </w:rPr>
        <w:t>of empirical studies conducted</w:t>
      </w:r>
      <w:r w:rsidRPr="000E5369">
        <w:rPr>
          <w:rFonts w:ascii="Centaur" w:hAnsi="Centaur"/>
          <w:color w:val="FFFFFF" w:themeColor="background1"/>
          <w:sz w:val="28"/>
          <w:szCs w:val="28"/>
        </w:rPr>
        <w:t>l</w:t>
      </w:r>
      <w:r w:rsidRPr="000E5369">
        <w:rPr>
          <w:rFonts w:ascii="Centaur" w:hAnsi="Centaur"/>
          <w:sz w:val="28"/>
          <w:szCs w:val="28"/>
        </w:rPr>
        <w:t xml:space="preserve">by M. Isa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{"citationItems":[{"id":"ITEM-1","itemData":{"DOI":"10.23917/BENEFIT.V15I1.1327","ISSN":"2541-2604","abstract":"Penelitian bertujuan untuk menganalisis pengaruh aspek kompetensi kewirausahaan, orentasi kewirausahaan terhadap kinerja industri mebel di Kabupaten Klaten, dan menganalisis pengaruh orentasi kewirausahaan terhadap kinerja industri mebel di Kabupaten Klaten. Data yang digunakan adalah data primer, yang diambil secara cross section melalui wawancara secara langsung dengan para pemilik usaha mebel dengan menggunakan daftar pertanyaan. Sampel sebanyak 182 usaha mebel atau 10% populasi. Pengujian validitas menggunakan analisis Confirmatory Factor Analysis (CFA), dan pengujian reliabilitas menggunakan Cronbach Alpha . Alat analisis yang digunakan adalah analisis regresi hirarkis. Berdasarkan hasil analisis disimpulkan bahwa (1) model 1 merupakan model terbaik untuk menjelaskan hubungan antara kompetensi kewirausahaan ( skills) , dan orentasi kewirausahaan terhadap kinerja UKM, (2) kompetensi kewirausahaan (Initiative dan enterprises, Planninng dan Organizing, teknologi) serta orentasi kewirausahaan berpengaruh positif dan signifikan terhadap kinerja, dan (3) variable orentasi kewirausahaan terbukti memediasi hubungan antara kompetensi kewirausahaan dan kinerja usaha mebel di Klaten.","author":[{"dropping-particle":"","family":"Isa","given":"Muzakar","non-dropping-particle":"","parse-names":false,"suffix":""}],"container-title":"Benefit: Jurnal Manajemen dan Bisnis","id":"ITEM-1","issue":"1","issued":{"date-parts":[["2012","6","15"]]},"page":"172-185","title":"Analisis Kompetensi Kewirausahaan, Orientasi Kewirausahaan, dan Kinerja Industri Mebel","type":"article-journal","volume":"15"},"suppress-author":1,"uris":["http://www.mendeley.com/documents/?uuid=9dbbd40c-d2ca-37fe-8e21-279b98762d3e"]}],"mendeley":{"formattedCitation":"(2012)","plainTextFormattedCitation":"(2012)","previouslyFormattedCitation":"(2012)"},"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(2012)</w:t>
      </w:r>
      <w:r w:rsidR="008E716B" w:rsidRPr="000E5369">
        <w:rPr>
          <w:rFonts w:ascii="Centaur" w:hAnsi="Centaur"/>
          <w:sz w:val="28"/>
          <w:szCs w:val="28"/>
        </w:rPr>
        <w:fldChar w:fldCharType="end"/>
      </w:r>
      <w:r w:rsidRPr="000E5369">
        <w:rPr>
          <w:rFonts w:ascii="Centaur" w:hAnsi="Centaur"/>
          <w:sz w:val="28"/>
          <w:szCs w:val="28"/>
        </w:rPr>
        <w:t xml:space="preserve">, Zainol and Selvamar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{"citationItems":[{"id":"ITEM-1","itemData":{"ISSN":"1176-8592","abstract":"The research examines entrepreneurial orientation (EO) in Indigenous or Bumiputera entrepreneurs (Malay firms) by taking cultural background as the antecedent. This construct is used to explain the influence of entrepreneurial orientation (EO) and its consequence towards firm performance.","author":[{"dropping-particle":"","family":"Zainol","given":"Fakhrul Anwar","non-dropping-particle":"","parse-names":false,"suffix":""},{"dropping-particle":"","family":"Ayadurai","given":"Selvamalar","non-dropping-particle":"","parse-names":false,"suffix":""}],"container-title":"Journal of Asia Entrepreneurship and Sustainability","id":"ITEM-1","issue":"1","issued":{"date-parts":[["2010"]]},"page":"3-20","title":"Cultural Background and Firm Performances of Indigenous (“Bumiputera”) Malay Family Firms in Malaysia: The Role of Entrepreneurial Orientation as a Mediating Variable","type":"article-journal","volume":"VI"},"suppress-author":1,"uris":["http://www.mendeley.com/documents/?uuid=82f2bbe1-1fce-4b9b-ac7c-4ee4328cecba"]}],"mendeley":{"formattedCitation":"(2010)","plainTextFormattedCitation":"(2010)","previouslyFormattedCitation":"(2010)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(2010)</w:t>
      </w:r>
      <w:r w:rsidR="008E716B" w:rsidRPr="000E5369">
        <w:rPr>
          <w:rFonts w:ascii="Centaur" w:hAnsi="Centaur"/>
          <w:sz w:val="28"/>
          <w:szCs w:val="28"/>
        </w:rPr>
        <w:fldChar w:fldCharType="end"/>
      </w:r>
      <w:r w:rsidRPr="000E5369">
        <w:rPr>
          <w:rFonts w:ascii="Centaur" w:hAnsi="Centaur"/>
          <w:sz w:val="28"/>
          <w:szCs w:val="28"/>
        </w:rPr>
        <w:t xml:space="preserve">, and Suprihhadi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{"citationItems":[{"id":"ITEM-1","itemData":{"ISBN":"9781119130536","abstract":"Predicting the binding mode of flexible polypeptides to proteins is an important task that falls outside the domain of applicability of most small molecule and protein</w:instrText>
      </w:r>
      <w:r w:rsidRPr="000E5369">
        <w:rPr>
          <w:sz w:val="28"/>
          <w:szCs w:val="28"/>
        </w:rPr>
        <w:instrText>−</w:instrText>
      </w:r>
      <w:r w:rsidRPr="000E5369">
        <w:rPr>
          <w:rFonts w:ascii="Centaur" w:hAnsi="Centaur"/>
          <w:sz w:val="28"/>
          <w:szCs w:val="28"/>
        </w:rPr>
        <w:instrText>protein docking tools. Here, we test the small molecule flexible ligand docking program Glide on a set of 19 non-</w:instrText>
      </w:r>
      <w:r w:rsidRPr="000E5369">
        <w:rPr>
          <w:rFonts w:ascii="Cambria" w:hAnsi="Cambria" w:cs="Cambria"/>
          <w:sz w:val="28"/>
          <w:szCs w:val="28"/>
        </w:rPr>
        <w:instrText>α</w:instrText>
      </w:r>
      <w:r w:rsidRPr="000E5369">
        <w:rPr>
          <w:rFonts w:ascii="Centaur" w:hAnsi="Centaur"/>
          <w:sz w:val="28"/>
          <w:szCs w:val="28"/>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approach.","author":[{"dropping-particle":"","family":"Suprihhadi","given":"Heru","non-dropping-particle":"","parse-names":false,"suffix":""}],"id":"ITEM-1","issued":{"date-parts":[["2013"]]},"publisher":"Sekolah Tinggi Ilmu Ekonomi Indonesia","title":"Orientasi Kewirausahaan Sebagai Mediasi Pengaruh Kepemimpinan Transformasional Dan Komitmen Organisasional Terhadap Kinerja Badan Usaha Koperasi Di Kota Surabaya","type":"thesis"},"suppress-author":1,"uris":["http://www.mendeley.com/documents/?uuid=f592318e-5c6c-4a09-83b8-fe96a2eb1ebf"]}],"mendeley":{"formattedCitation":"(2013)","plainTextFormattedCitation":"(2013)","previouslyFormattedCitation":"(2013)"},"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(2013)</w:t>
      </w:r>
      <w:r w:rsidR="008E716B" w:rsidRPr="000E5369">
        <w:rPr>
          <w:rFonts w:ascii="Centaur" w:hAnsi="Centaur"/>
          <w:sz w:val="28"/>
          <w:szCs w:val="28"/>
        </w:rPr>
        <w:fldChar w:fldCharType="end"/>
      </w:r>
      <w:r w:rsidRPr="000E5369">
        <w:rPr>
          <w:rFonts w:ascii="Centaur" w:hAnsi="Centaur"/>
          <w:sz w:val="28"/>
          <w:szCs w:val="28"/>
        </w:rPr>
        <w:t xml:space="preserve"> denoting that Entrepreneurship Orientation</w:t>
      </w:r>
      <w:r w:rsidRPr="000E5369">
        <w:rPr>
          <w:rFonts w:ascii="Centaur" w:hAnsi="Centaur"/>
          <w:color w:val="FFFFFF" w:themeColor="background1"/>
          <w:sz w:val="28"/>
          <w:szCs w:val="28"/>
        </w:rPr>
        <w:t>l</w:t>
      </w:r>
      <w:r w:rsidRPr="000E5369">
        <w:rPr>
          <w:rFonts w:ascii="Centaur" w:hAnsi="Centaur"/>
          <w:sz w:val="28"/>
          <w:szCs w:val="28"/>
        </w:rPr>
        <w:t>has</w:t>
      </w:r>
      <w:r w:rsidRPr="000E5369">
        <w:rPr>
          <w:rFonts w:ascii="Centaur" w:hAnsi="Centaur"/>
          <w:color w:val="FFFFFF" w:themeColor="background1"/>
          <w:sz w:val="28"/>
          <w:szCs w:val="28"/>
        </w:rPr>
        <w:t>l</w:t>
      </w:r>
      <w:r w:rsidRPr="000E5369">
        <w:rPr>
          <w:rFonts w:ascii="Centaur" w:hAnsi="Centaur"/>
          <w:sz w:val="28"/>
          <w:szCs w:val="28"/>
        </w:rPr>
        <w:t>a</w:t>
      </w:r>
      <w:r w:rsidRPr="000E5369">
        <w:rPr>
          <w:rFonts w:ascii="Centaur" w:hAnsi="Centaur"/>
          <w:color w:val="FFFFFF" w:themeColor="background1"/>
          <w:sz w:val="28"/>
          <w:szCs w:val="28"/>
        </w:rPr>
        <w:t>l</w:t>
      </w:r>
      <w:r w:rsidRPr="000E5369">
        <w:rPr>
          <w:rFonts w:ascii="Centaur" w:hAnsi="Centaur"/>
          <w:sz w:val="28"/>
          <w:szCs w:val="28"/>
        </w:rPr>
        <w:t>significant</w:t>
      </w:r>
      <w:r w:rsidRPr="000E5369">
        <w:rPr>
          <w:rFonts w:ascii="Centaur" w:hAnsi="Centaur"/>
          <w:color w:val="FFFFFF" w:themeColor="background1"/>
          <w:sz w:val="28"/>
          <w:szCs w:val="28"/>
        </w:rPr>
        <w:t>l</w:t>
      </w:r>
      <w:r w:rsidRPr="000E5369">
        <w:rPr>
          <w:rFonts w:ascii="Centaur" w:hAnsi="Centaur"/>
          <w:sz w:val="28"/>
          <w:szCs w:val="28"/>
        </w:rPr>
        <w:t>effect</w:t>
      </w:r>
      <w:r w:rsidRPr="000E5369">
        <w:rPr>
          <w:rFonts w:ascii="Centaur" w:hAnsi="Centaur"/>
          <w:color w:val="FFFFFF" w:themeColor="background1"/>
          <w:sz w:val="28"/>
          <w:szCs w:val="28"/>
        </w:rPr>
        <w:t>l</w:t>
      </w:r>
      <w:r w:rsidRPr="000E5369">
        <w:rPr>
          <w:rFonts w:ascii="Centaur" w:hAnsi="Centaur"/>
          <w:sz w:val="28"/>
          <w:szCs w:val="28"/>
        </w:rPr>
        <w:t>on</w:t>
      </w:r>
      <w:r w:rsidRPr="000E5369">
        <w:rPr>
          <w:rFonts w:ascii="Centaur" w:hAnsi="Centaur"/>
          <w:color w:val="FFFFFF" w:themeColor="background1"/>
          <w:sz w:val="28"/>
          <w:szCs w:val="28"/>
        </w:rPr>
        <w:t>l</w:t>
      </w:r>
      <w:r w:rsidRPr="000E5369">
        <w:rPr>
          <w:rFonts w:ascii="Centaur" w:hAnsi="Centaur"/>
          <w:sz w:val="28"/>
          <w:szCs w:val="28"/>
        </w:rPr>
        <w:t>business</w:t>
      </w:r>
      <w:r w:rsidRPr="000E5369">
        <w:rPr>
          <w:rFonts w:ascii="Centaur" w:hAnsi="Centaur"/>
          <w:color w:val="FFFFFF" w:themeColor="background1"/>
          <w:sz w:val="28"/>
          <w:szCs w:val="28"/>
        </w:rPr>
        <w:t>l</w:t>
      </w:r>
      <w:r w:rsidRPr="000E5369">
        <w:rPr>
          <w:rFonts w:ascii="Centaur" w:hAnsi="Centaur"/>
          <w:sz w:val="28"/>
          <w:szCs w:val="28"/>
        </w:rPr>
        <w:t>performance, but</w:t>
      </w:r>
      <w:r w:rsidRPr="000E5369">
        <w:rPr>
          <w:rFonts w:ascii="Centaur" w:hAnsi="Centaur"/>
          <w:color w:val="FFFFFF" w:themeColor="background1"/>
          <w:sz w:val="28"/>
          <w:szCs w:val="28"/>
        </w:rPr>
        <w:t>l</w:t>
      </w:r>
      <w:r w:rsidRPr="000E5369">
        <w:rPr>
          <w:rFonts w:ascii="Centaur" w:hAnsi="Centaur"/>
          <w:sz w:val="28"/>
          <w:szCs w:val="28"/>
        </w:rPr>
        <w:t>is not</w:t>
      </w:r>
      <w:r w:rsidRPr="000E5369">
        <w:rPr>
          <w:rFonts w:ascii="Centaur" w:hAnsi="Centaur"/>
          <w:color w:val="FFFFFF" w:themeColor="background1"/>
          <w:sz w:val="28"/>
          <w:szCs w:val="28"/>
        </w:rPr>
        <w:t>l</w:t>
      </w:r>
      <w:r w:rsidRPr="000E5369">
        <w:rPr>
          <w:rFonts w:ascii="Centaur" w:hAnsi="Centaur"/>
          <w:sz w:val="28"/>
          <w:szCs w:val="28"/>
        </w:rPr>
        <w:t>in line with</w:t>
      </w:r>
      <w:r w:rsidRPr="000E5369">
        <w:rPr>
          <w:rFonts w:ascii="Centaur" w:hAnsi="Centaur"/>
          <w:color w:val="FFFFFF" w:themeColor="background1"/>
          <w:sz w:val="28"/>
          <w:szCs w:val="28"/>
        </w:rPr>
        <w:t>l</w:t>
      </w:r>
      <w:r w:rsidRPr="000E5369">
        <w:rPr>
          <w:rFonts w:ascii="Centaur" w:hAnsi="Centaur"/>
          <w:sz w:val="28"/>
          <w:szCs w:val="28"/>
        </w:rPr>
        <w:t xml:space="preserve">the results an empirical study conducted by Wang and Li-Hua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Wang","given":"Y","non-dropping-particle":"","parse-names":false,"suffix":""},{"dropping-particle":"","family":"Li-Hua","given":"R.","non-dropping-particle":"","parse-names":false,"suffix":""}],"container-title":"An Empirical Study in China. IAMOT","id":"ITEM-1","issued":{"date-parts":[["2010"]]},"publisher":"IAMOT","title":"Operational of Corporate Entrepreneurship an its Performance Implication","type":"paper-conference"},"suppress-author":1,"uris":["http://www.mendeley.com/documents/?uuid=9d4e364d-efa3-4d6f-a723-b8443ce4040c"]}],"mendeley":{"formattedCitation":"(2010)","plainTextFormattedCitation":"(2010)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(2010)</w:t>
      </w:r>
      <w:r w:rsidR="008E716B" w:rsidRPr="000E5369">
        <w:rPr>
          <w:rFonts w:ascii="Centaur" w:hAnsi="Centaur"/>
          <w:sz w:val="28"/>
          <w:szCs w:val="28"/>
        </w:rPr>
        <w:fldChar w:fldCharType="end"/>
      </w:r>
      <w:r w:rsidRPr="000E5369">
        <w:rPr>
          <w:rFonts w:ascii="Centaur" w:hAnsi="Centaur"/>
          <w:sz w:val="28"/>
          <w:szCs w:val="28"/>
        </w:rPr>
        <w:t xml:space="preserve"> arguing that Entrepreneurship Orientation had</w:t>
      </w:r>
      <w:r w:rsidRPr="000E5369">
        <w:rPr>
          <w:rFonts w:ascii="Centaur" w:hAnsi="Centaur"/>
          <w:color w:val="FFFFFF" w:themeColor="background1"/>
          <w:sz w:val="28"/>
          <w:szCs w:val="28"/>
        </w:rPr>
        <w:t>l</w:t>
      </w:r>
      <w:r w:rsidRPr="000E5369">
        <w:rPr>
          <w:rFonts w:ascii="Centaur" w:hAnsi="Centaur"/>
          <w:sz w:val="28"/>
          <w:szCs w:val="28"/>
        </w:rPr>
        <w:t>no</w:t>
      </w:r>
      <w:r w:rsidRPr="000E5369">
        <w:rPr>
          <w:rFonts w:ascii="Centaur" w:hAnsi="Centaur"/>
          <w:color w:val="FFFFFF" w:themeColor="background1"/>
          <w:sz w:val="28"/>
          <w:szCs w:val="28"/>
        </w:rPr>
        <w:t>l</w:t>
      </w:r>
      <w:r w:rsidRPr="000E5369">
        <w:rPr>
          <w:rFonts w:ascii="Centaur" w:hAnsi="Centaur"/>
          <w:sz w:val="28"/>
          <w:szCs w:val="28"/>
        </w:rPr>
        <w:t>significant</w:t>
      </w:r>
      <w:r w:rsidRPr="000E5369">
        <w:rPr>
          <w:rFonts w:ascii="Centaur" w:hAnsi="Centaur"/>
          <w:color w:val="FFFFFF" w:themeColor="background1"/>
          <w:sz w:val="28"/>
          <w:szCs w:val="28"/>
        </w:rPr>
        <w:t>l</w:t>
      </w:r>
      <w:r w:rsidRPr="000E5369">
        <w:rPr>
          <w:rFonts w:ascii="Centaur" w:hAnsi="Centaur"/>
          <w:sz w:val="28"/>
          <w:szCs w:val="28"/>
        </w:rPr>
        <w:t>effect</w:t>
      </w:r>
      <w:r w:rsidRPr="000E5369">
        <w:rPr>
          <w:rFonts w:ascii="Centaur" w:hAnsi="Centaur"/>
          <w:color w:val="FFFFFF" w:themeColor="background1"/>
          <w:sz w:val="28"/>
          <w:szCs w:val="28"/>
        </w:rPr>
        <w:t>l</w:t>
      </w:r>
      <w:r w:rsidRPr="000E5369">
        <w:rPr>
          <w:rFonts w:ascii="Centaur" w:hAnsi="Centaur"/>
          <w:sz w:val="28"/>
          <w:szCs w:val="28"/>
        </w:rPr>
        <w:t>on business</w:t>
      </w:r>
      <w:r w:rsidRPr="000E5369">
        <w:rPr>
          <w:rFonts w:ascii="Centaur" w:hAnsi="Centaur"/>
          <w:color w:val="FFFFFF" w:themeColor="background1"/>
          <w:sz w:val="28"/>
          <w:szCs w:val="28"/>
        </w:rPr>
        <w:t>l</w:t>
      </w:r>
      <w:r w:rsidRPr="000E5369">
        <w:rPr>
          <w:rFonts w:ascii="Centaur" w:hAnsi="Centaur"/>
          <w:sz w:val="28"/>
          <w:szCs w:val="28"/>
        </w:rPr>
        <w:t>performance</w:t>
      </w:r>
      <w:r w:rsidRPr="000E5369">
        <w:rPr>
          <w:rFonts w:ascii="Centaur" w:hAnsi="Centaur"/>
          <w:color w:val="FF0000"/>
          <w:sz w:val="28"/>
          <w:szCs w:val="28"/>
        </w:rPr>
        <w:t>.</w:t>
      </w:r>
    </w:p>
    <w:p w:rsidR="007F35E9" w:rsidRPr="000E5369" w:rsidRDefault="007F35E9" w:rsidP="007F35E9">
      <w:pPr>
        <w:spacing w:before="0" w:line="240" w:lineRule="auto"/>
        <w:ind w:left="0" w:firstLine="900"/>
        <w:jc w:val="both"/>
        <w:rPr>
          <w:rFonts w:ascii="Centaur" w:hAnsi="Centaur"/>
          <w:color w:val="FF0000"/>
          <w:sz w:val="28"/>
          <w:szCs w:val="28"/>
          <w:lang w:val="en-US"/>
        </w:rPr>
      </w:pPr>
    </w:p>
    <w:p w:rsidR="00497FE6" w:rsidRPr="000E5369" w:rsidRDefault="00497FE6" w:rsidP="007F35E9">
      <w:pPr>
        <w:spacing w:before="0" w:line="240" w:lineRule="auto"/>
        <w:ind w:left="0" w:firstLine="0"/>
        <w:contextualSpacing/>
        <w:rPr>
          <w:rFonts w:ascii="Centaur" w:hAnsi="Centaur"/>
          <w:b/>
          <w:sz w:val="28"/>
          <w:szCs w:val="28"/>
        </w:rPr>
      </w:pPr>
      <w:r w:rsidRPr="000E5369">
        <w:rPr>
          <w:rFonts w:ascii="Centaur" w:hAnsi="Centaur"/>
          <w:b/>
          <w:sz w:val="28"/>
          <w:szCs w:val="28"/>
        </w:rPr>
        <w:t>The Influence of Competence on Business Performance</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proven influence</w:t>
      </w:r>
      <w:r w:rsidRPr="000E5369">
        <w:rPr>
          <w:rFonts w:ascii="Centaur" w:hAnsi="Centaur"/>
          <w:color w:val="FFFFFF" w:themeColor="background1"/>
          <w:sz w:val="28"/>
          <w:szCs w:val="28"/>
        </w:rPr>
        <w:t>l</w:t>
      </w:r>
      <w:r w:rsidRPr="000E5369">
        <w:rPr>
          <w:rFonts w:ascii="Centaur" w:hAnsi="Centaur"/>
          <w:sz w:val="28"/>
          <w:szCs w:val="28"/>
        </w:rPr>
        <w:t>of competence significantly on</w:t>
      </w:r>
      <w:r w:rsidRPr="000E5369">
        <w:rPr>
          <w:rFonts w:ascii="Centaur" w:hAnsi="Centaur"/>
          <w:color w:val="FFFFFF" w:themeColor="background1"/>
          <w:sz w:val="28"/>
          <w:szCs w:val="28"/>
        </w:rPr>
        <w:t>l</w:t>
      </w:r>
      <w:r w:rsidRPr="000E5369">
        <w:rPr>
          <w:rFonts w:ascii="Centaur" w:hAnsi="Centaur"/>
          <w:sz w:val="28"/>
          <w:szCs w:val="28"/>
        </w:rPr>
        <w:t>the business performance</w:t>
      </w:r>
      <w:r w:rsidRPr="000E5369">
        <w:rPr>
          <w:rFonts w:ascii="Centaur" w:hAnsi="Centaur"/>
          <w:color w:val="FFFFFF" w:themeColor="background1"/>
          <w:sz w:val="28"/>
          <w:szCs w:val="28"/>
        </w:rPr>
        <w:t>l</w:t>
      </w:r>
      <w:r w:rsidRPr="000E5369">
        <w:rPr>
          <w:rFonts w:ascii="Centaur" w:hAnsi="Centaur"/>
          <w:sz w:val="28"/>
          <w:szCs w:val="28"/>
        </w:rPr>
        <w:t>of SMEs indicates that SMEs have selling points and are able to apply creativity and innovation leading to a positive attitude. This indication relates to the factual form of SMEs which have original motives and traits along with the inherent skills to operate the business.</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color w:val="FFFFFF" w:themeColor="background1"/>
          <w:sz w:val="28"/>
          <w:szCs w:val="28"/>
        </w:rPr>
        <w:lastRenderedPageBreak/>
        <w:t>“</w:t>
      </w:r>
      <w:r w:rsidRPr="000E5369">
        <w:rPr>
          <w:rFonts w:ascii="Centaur" w:hAnsi="Centaur"/>
          <w:sz w:val="28"/>
          <w:szCs w:val="28"/>
        </w:rPr>
        <w:t xml:space="preserve">The results of this study are in line with the RBV Theory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{"citationItems":[{"id":"ITEM-1","itemData":{"DOI":"10.2307/41166664","abstract":"Recent contributions to strategic management and the theory of the firm collectively known as the “resource-based view of the firm” provide illuminating insights into the sources of profitability and the nature of competitive strategy. This article argues that internal resources rather than the market environment should provide the foundation for a firm’s strategy. On the basis of an analysis of the relationships among resources, capabilities, conpetitive advantage, and profitability, this article advances a framework for a resource-based approach to strategy formulation. © 1991, The Regents of the University of California. All rights reserved.","author":[{"dropping-particle":"","family":"Grant","given":"Robert M.","non-dropping-particle":"","parse-names":false,"suffix":""}],"container-title":"http://dx.doi.org/10.2307/41166664","id":"ITEM-1","issue":"3","issued":{"date-parts":[["1991","4","1"]]},"page":"114-135","publisher":"SAGE PublicationsSage CA: Los Angeles, CA","title":"The Resource-Based Theory of Competitive Advantage: Implications for Strategy Formulation:","type":"article-journal","volume":"33"},"uris":["http://www.mendeley.com/documents/?uuid=ee0a4093-bf7f-3361-b90e-12c16e53b41f"]}],"mendeley":{"formattedCitation":"(Grant 1991)","plainTextFormattedCitation":"(Grant 1991)","previouslyFormattedCitation":"(Grant 1991)"},"properties":{"noteIndex":0},"schema":"https://github.com/citation-style-language/schema/raw/master/csl-citation.json"}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(Grant 1991)</w:t>
      </w:r>
      <w:r w:rsidR="008E716B" w:rsidRPr="000E5369">
        <w:rPr>
          <w:rFonts w:ascii="Centaur" w:hAnsi="Centaur"/>
          <w:sz w:val="28"/>
          <w:szCs w:val="28"/>
        </w:rPr>
        <w:fldChar w:fldCharType="end"/>
      </w:r>
      <w:r w:rsidRPr="000E5369">
        <w:rPr>
          <w:rFonts w:ascii="Centaur" w:hAnsi="Centaur"/>
          <w:sz w:val="28"/>
          <w:szCs w:val="28"/>
        </w:rPr>
        <w:t xml:space="preserve"> that resources are considered as inputs that enable companies to conduct their activities. Internal resources and capabilities determine the strategic choices made by companies as they compete in their external business environment. The company's capabilities allow the addition of value to the customer value chain, develop innovations, or expand into new markets. Furthermore, Grant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{"citationItems":[{"id":"ITEM-1","itemData":{"DOI":"10.2307/41166664","abstract":"Recent contributions to strategic management and the theory of the firm collectively known as the “resource-based view of the firm” provide illuminating insights into the sources of profitability and the nature of competitive strategy. This article argues that internal resources rather than the market environment should provide the foundation for a firm’s strategy. On the basis of an analysis of the relationships among resources, capabilities, conpetitive advantage, and profitability, this article advances a framework for a resource-based approach to strategy formulation. © 1991, The Regents of the University of California. All rights reserved.","author":[{"dropping-particle":"","family":"Grant","given":"Robert M.","non-dropping-particle":"","parse-names":false,"suffix":""}],"container-title":"http://dx.doi.org/10.2307/41166664","id":"ITEM-1","issue":"3","issued":{"date-parts":[["1991","4","1"]]},"page":"114-135","publisher":"SAGE PublicationsSage CA: Los Angeles, CA","title":"The Resource-Based Theory of Competitive Advantage: Implications for Strategy Formulation:","type":"article-journal","volume":"33"},"suppress-author":1,"uris":["http://www.mendeley.com/documents/?uuid=ee0a4093-bf7f-3361-b90e-12c16e53b41f"]},{"id":"ITEM-2","itemData":{"author":[{"dropping-particle":"","family":"Grant","given":"Robert M.","non-dropping-particle":"","parse-names":false,"suffix":""}],"editor":[{"dropping-particle":"","family":"Sihombing","given":"Tulus","non-dropping-particle":"","parse-names":false,"suffix":""},{"dropping-particle":"","family":"Sumiharti","given":"Yati","non-dropping-particle":"","parse-names":false,"suffix":""}],"id":"ITEM-2","issued":{"date-parts":[["1999"]]},"publisher":"Erlangga","publisher-place":"Jakarta","title":"Analisis strategi kontemporer : konsep, teknik, aplikasi = Contemporary strategy analysis : concept, techniques, Applications","translator":[{"dropping-particle":"","family":"Secokusumo","given":"Thomas","non-dropping-particle":"","parse-names":false,"suffix":""}],"type":"book"},"suppress-author":1,"uris":["http://www.mendeley.com/documents/?uuid=02e2bd3d-4cf9-3fd4-bb19-829325bd5f29"]}],"mendeley":{"formattedCitation":"(1991, 1999)","plainTextFormattedCitation":"(1991, 1999)","previouslyFormattedCitation":"(1991, 1999)"},"properties":{"noteIndex":0},"schema":"https://github.com/citation-style-language/schema/raw/master/csl-citation.json"}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(1991, 1999)</w:t>
      </w:r>
      <w:r w:rsidR="008E716B" w:rsidRPr="000E5369">
        <w:rPr>
          <w:rFonts w:ascii="Centaur" w:hAnsi="Centaur"/>
          <w:sz w:val="28"/>
          <w:szCs w:val="28"/>
        </w:rPr>
        <w:fldChar w:fldCharType="end"/>
      </w:r>
      <w:r w:rsidRPr="000E5369">
        <w:rPr>
          <w:rFonts w:ascii="Centaur" w:hAnsi="Centaur"/>
          <w:sz w:val="28"/>
          <w:szCs w:val="28"/>
        </w:rPr>
        <w:t xml:space="preserve"> stated that internally, an effort is constantly required to create special competencies derived from internal capabilities (resource-based theory).</w:t>
      </w:r>
      <w:r w:rsidRPr="000E5369">
        <w:rPr>
          <w:rFonts w:ascii="Centaur" w:hAnsi="Centaur"/>
          <w:color w:val="FFFFFF" w:themeColor="background1"/>
          <w:sz w:val="28"/>
          <w:szCs w:val="28"/>
        </w:rPr>
        <w:t>”</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 xml:space="preserve">Similarly, the </w:t>
      </w:r>
      <w:r w:rsidRPr="000E5369">
        <w:rPr>
          <w:rFonts w:ascii="Centaur" w:hAnsi="Centaur"/>
          <w:color w:val="FFFFFF" w:themeColor="background1"/>
          <w:sz w:val="28"/>
          <w:szCs w:val="28"/>
        </w:rPr>
        <w:t>“</w:t>
      </w:r>
      <w:r w:rsidRPr="000E5369">
        <w:rPr>
          <w:rFonts w:ascii="Centaur" w:hAnsi="Centaur"/>
          <w:sz w:val="28"/>
          <w:szCs w:val="28"/>
        </w:rPr>
        <w:t xml:space="preserve">results of this study are in line with the results of empirical studies conducted by Lotunani et al.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{"citationItems":[{"id":"ITEM-1","itemData":{"abstract":"The purpose of the research is to analyze and describe the effect of competence on commitment, performance and satisfaction with reward as a moderating variable. The research has been carried out in Kendari city government. The study focuses on designing work plans in Kendari City government, South East Sulawesi. To analyze the data, the study uses 152 respondents and applies Structural Equation Model on the basis of Partial least Square (PLS). The result of the research shows that the path coefficient of civil servant performance toward their satisfaction mediated by reward is not significant. It means that the reward that is given to the government workers on the basis of their performances does not necessarily effect on their satisfaction, this is because the respondents of the research are civil servants working in government organization, where the rewards are not the most priorities in increasing civil servants satisfaction.","author":[{"dropping-particle":"","family":"Lotunani","given":"Alamsyah","non-dropping-particle":"","parse-names":false,"suffix":""},{"dropping-particle":"","family":"Idrus","given":"M S","non-dropping-particle":"","parse-names":false,"suffix":""},{"dropping-particle":"","family":"Afnan","given":"Eka","non-dropping-particle":"","parse-names":false,"suffix":""},{"dropping-particle":"","family":"Setiawan","given":"Margono","non-dropping-particle":"","parse-names":false,"suffix":""}],"container-title":"International Journal of Business and Management Invention","id":"ITEM-1","issue":"2","issued":{"date-parts":[["2014"]]},"page":"18-25","title":"The Effect of Competence on Commitment, Performance and Satisfaction with Reward as a Moderating Variable (A Study on Designing Work plans in Kendari City Government, Southeast Sulawesi)","type":"article-journal","volume":"3"},"suppress-author":1,"uris":["http://www.mendeley.com/documents/?uuid=4e1bac98-1b94-4ab6-b7c3-70552ea482b8"]}],"mendeley":{"formattedCitation":"(2014)","plainTextFormattedCitation":"(2014)","previouslyFormattedCitation":"(2014)"},"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(2014)</w:t>
      </w:r>
      <w:r w:rsidR="008E716B" w:rsidRPr="000E5369">
        <w:rPr>
          <w:rFonts w:ascii="Centaur" w:hAnsi="Centaur"/>
          <w:sz w:val="28"/>
          <w:szCs w:val="28"/>
        </w:rPr>
        <w:fldChar w:fldCharType="end"/>
      </w:r>
      <w:r w:rsidRPr="000E5369">
        <w:rPr>
          <w:rFonts w:ascii="Centaur" w:hAnsi="Centaur"/>
          <w:sz w:val="28"/>
          <w:szCs w:val="28"/>
        </w:rPr>
        <w:t xml:space="preserve"> and Arifin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{"citationItems":[{"id":"ITEM-1","itemData":{"DOI":"10.5539/ies.v8n1p38","ISSN":"19139039","abstract":"The study aims to find out and analyze the influence of competence, motivation, and organizational competence to high school teacher job satisfaction and performance in Jayapura City, Papua, Indonesia. The study was conducted on 117 respondents of 346 teachers by means of questionnaire. Data is analyzed by SEM analysis method in AMOS program. Findings indicate that competence and organizational culture affect positively and insignificantly teacher job satisfaction. While, job motivation affects positively and significantly teacher job satisfaction, but it did not give any significant effect on teacher performance. Competence and job satisfaction affect positively and significantly teacher performance, in fact organizational culture just has positive but insignificant effect to job satisfaction.","author":[{"dropping-particle":"","family":"Arifin","given":"Muhammad","non-dropping-particle":"","parse-names":false,"suffix":""}],"container-title":"International Education Studies","id":"ITEM-1","issue":"1","issued":{"date-parts":[["2015"]]},"page":"38-45","title":"The influence of competence, motivation, and organisational culture to high school teacher job satisfaction and performance","type":"article-journal","volume":"8"},"suppress-author":1,"uris":["http://www.mendeley.com/documents/?uuid=737ee7df-ce43-46de-80d9-bd8d845f0025"]}],"mendeley":{"formattedCitation":"(2015)","plainTextFormattedCitation":"(2015)","previouslyFormattedCitation":"(2015)"},"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(2015)</w:t>
      </w:r>
      <w:r w:rsidR="008E716B" w:rsidRPr="000E5369">
        <w:rPr>
          <w:rFonts w:ascii="Centaur" w:hAnsi="Centaur"/>
          <w:sz w:val="28"/>
          <w:szCs w:val="28"/>
        </w:rPr>
        <w:fldChar w:fldCharType="end"/>
      </w:r>
      <w:r w:rsidRPr="000E5369">
        <w:rPr>
          <w:rFonts w:ascii="Centaur" w:hAnsi="Centaur"/>
          <w:sz w:val="28"/>
          <w:szCs w:val="28"/>
        </w:rPr>
        <w:t xml:space="preserve"> which state that competence has a significant effect on</w:t>
      </w:r>
      <w:r w:rsidRPr="000E5369">
        <w:rPr>
          <w:rFonts w:ascii="Centaur" w:hAnsi="Centaur"/>
          <w:color w:val="FFFFFF" w:themeColor="background1"/>
          <w:sz w:val="28"/>
          <w:szCs w:val="28"/>
        </w:rPr>
        <w:t>”</w:t>
      </w:r>
      <w:r w:rsidRPr="000E5369">
        <w:rPr>
          <w:rFonts w:ascii="Centaur" w:hAnsi="Centaur"/>
          <w:sz w:val="28"/>
          <w:szCs w:val="28"/>
        </w:rPr>
        <w:t xml:space="preserve"> business performance.</w:t>
      </w:r>
    </w:p>
    <w:p w:rsidR="00497FE6" w:rsidRPr="000E5369" w:rsidRDefault="00497FE6" w:rsidP="00497FE6">
      <w:pPr>
        <w:spacing w:before="0" w:line="240" w:lineRule="auto"/>
        <w:ind w:firstLine="567"/>
        <w:jc w:val="both"/>
        <w:rPr>
          <w:rFonts w:ascii="Centaur" w:hAnsi="Centaur"/>
          <w:color w:val="FF0000"/>
          <w:sz w:val="28"/>
          <w:szCs w:val="28"/>
        </w:rPr>
      </w:pPr>
    </w:p>
    <w:p w:rsidR="00497FE6" w:rsidRPr="000E5369" w:rsidRDefault="00497FE6" w:rsidP="00497FE6">
      <w:pPr>
        <w:spacing w:before="0" w:line="240" w:lineRule="auto"/>
        <w:ind w:left="360"/>
        <w:jc w:val="both"/>
        <w:rPr>
          <w:rFonts w:ascii="Centaur" w:hAnsi="Centaur"/>
          <w:b/>
          <w:bCs/>
          <w:sz w:val="28"/>
          <w:szCs w:val="28"/>
        </w:rPr>
      </w:pPr>
      <w:r w:rsidRPr="000E5369">
        <w:rPr>
          <w:rFonts w:ascii="Centaur" w:hAnsi="Centaur"/>
          <w:b/>
          <w:bCs/>
          <w:sz w:val="28"/>
          <w:szCs w:val="28"/>
        </w:rPr>
        <w:t>Influence of Work Motivation on Business Performance.</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It</w:t>
      </w:r>
      <w:r w:rsidRPr="000E5369">
        <w:rPr>
          <w:rFonts w:ascii="Centaur" w:hAnsi="Centaur"/>
          <w:color w:val="FFFFFF" w:themeColor="background1"/>
          <w:sz w:val="28"/>
          <w:szCs w:val="28"/>
        </w:rPr>
        <w:t>l</w:t>
      </w:r>
      <w:r w:rsidRPr="000E5369">
        <w:rPr>
          <w:rFonts w:ascii="Centaur" w:hAnsi="Centaur"/>
          <w:sz w:val="28"/>
          <w:szCs w:val="28"/>
        </w:rPr>
        <w:t>is proven that</w:t>
      </w:r>
      <w:r w:rsidRPr="000E5369">
        <w:rPr>
          <w:rFonts w:ascii="Centaur" w:hAnsi="Centaur"/>
          <w:color w:val="FFFFFF" w:themeColor="background1"/>
          <w:sz w:val="28"/>
          <w:szCs w:val="28"/>
        </w:rPr>
        <w:t>l</w:t>
      </w:r>
      <w:r w:rsidRPr="000E5369">
        <w:rPr>
          <w:rFonts w:ascii="Centaur" w:hAnsi="Centaur"/>
          <w:sz w:val="28"/>
          <w:szCs w:val="28"/>
        </w:rPr>
        <w:t>the</w:t>
      </w:r>
      <w:r w:rsidRPr="000E5369">
        <w:rPr>
          <w:rFonts w:ascii="Centaur" w:hAnsi="Centaur"/>
          <w:color w:val="FFFFFF" w:themeColor="background1"/>
          <w:sz w:val="28"/>
          <w:szCs w:val="28"/>
        </w:rPr>
        <w:t>l</w:t>
      </w:r>
      <w:r w:rsidRPr="000E5369">
        <w:rPr>
          <w:rFonts w:ascii="Centaur" w:hAnsi="Centaur"/>
          <w:sz w:val="28"/>
          <w:szCs w:val="28"/>
        </w:rPr>
        <w:t>influence</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work motivation is significant onthebusinessperformance of</w:t>
      </w:r>
      <w:r w:rsidRPr="000E5369">
        <w:rPr>
          <w:rFonts w:ascii="Centaur" w:hAnsi="Centaur"/>
          <w:color w:val="FFFFFF" w:themeColor="background1"/>
          <w:sz w:val="28"/>
          <w:szCs w:val="28"/>
        </w:rPr>
        <w:t>l</w:t>
      </w:r>
      <w:r w:rsidRPr="000E5369">
        <w:rPr>
          <w:rFonts w:ascii="Centaur" w:hAnsi="Centaur"/>
          <w:sz w:val="28"/>
          <w:szCs w:val="28"/>
        </w:rPr>
        <w:t>SMEs, proving that entrepreneurs have work motivation by generating, directing, maintaining attitudes and behavior in running a business to serve consumers. Indications include a strong response in self-inspiration by directing the goals and achievements of the business they run, maintaining the viability of their culinary business, realized by demonstrating the intention to do business in a sustainable manner</w:t>
      </w:r>
      <w:r w:rsidRPr="000E5369">
        <w:rPr>
          <w:rFonts w:ascii="Centaur" w:hAnsi="Centaur"/>
          <w:color w:val="FF0000"/>
          <w:sz w:val="28"/>
          <w:szCs w:val="28"/>
        </w:rPr>
        <w:t>.</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 xml:space="preserve">Entrepreneurial motivation refers to a condition that encourages, moves, and directs the desire of individuals to independently perform the entrepreneurial activities, believe in themselves, to be future-oriented, take risks, to be creative and highly appreciative of the desire for innovation, as well as profit oriented. Entrepreneurial motivation and entrepreneurial intention serve as the main determinants of success factors in entrepreneurial success. Based on the theory of Intrinsic and Extrinsic Motivation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{"citationItems":[{"id":"ITEM-1","itemData":{"ISBN":"9780130166807","abstract":"Knowledge of the occurrence and mobility of carbonate-rich melts in the Earth's mantle is important for understanding the deep carbon cycle and related geochemical and geophysical processes. However, our understanding of the mobility of carbonate-rich ...\\n","author":[{"dropping-particle":"","family":"Robbins","given":"Stephen","non-dropping-particle":"","parse-names":false,"suffix":""}],"edition":"9th ed.","id":"ITEM-1","issued":{"date-parts":[["2003"]]},"publisher":"Prentice Hall","publisher-place":"California","title":"Organisational Behavior","type":"book"},"uris":["http://www.mendeley.com/documents/?uuid=a403bd79-a179-3bd9-8356-8f8da9409b0b"]}],"mendeley":{"formattedCitation":"(Robbins 2003)","plainTextFormattedCitation":"(Robbins 2003)","previouslyFormattedCitation":"(Robbins 2003)"},"properties":{"noteIndex":0},"schema":"https://github.com/citation-style-language/schema/raw/master/csl-citation.json"}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(Robbins 2003)</w:t>
      </w:r>
      <w:r w:rsidR="008E716B" w:rsidRPr="000E5369">
        <w:rPr>
          <w:rFonts w:ascii="Centaur" w:hAnsi="Centaur"/>
          <w:sz w:val="28"/>
          <w:szCs w:val="28"/>
        </w:rPr>
        <w:fldChar w:fldCharType="end"/>
      </w:r>
      <w:r w:rsidRPr="000E5369">
        <w:rPr>
          <w:rFonts w:ascii="Centaur" w:hAnsi="Centaur"/>
          <w:sz w:val="28"/>
          <w:szCs w:val="28"/>
        </w:rPr>
        <w:t>,</w:t>
      </w:r>
      <w:r w:rsidRPr="000E5369">
        <w:rPr>
          <w:rFonts w:ascii="Centaur" w:hAnsi="Centaur"/>
          <w:color w:val="FFFFFF" w:themeColor="background1"/>
          <w:sz w:val="28"/>
          <w:szCs w:val="28"/>
        </w:rPr>
        <w:t>“</w:t>
      </w:r>
      <w:r w:rsidRPr="000E5369">
        <w:rPr>
          <w:rFonts w:ascii="Centaur" w:hAnsi="Centaur"/>
          <w:sz w:val="28"/>
          <w:szCs w:val="28"/>
        </w:rPr>
        <w:t>Intrinsic</w:t>
      </w:r>
      <w:r w:rsidRPr="000E5369">
        <w:rPr>
          <w:rFonts w:ascii="Centaur" w:hAnsi="Centaur"/>
          <w:color w:val="FFFFFF" w:themeColor="background1"/>
          <w:sz w:val="28"/>
          <w:szCs w:val="28"/>
        </w:rPr>
        <w:t>l</w:t>
      </w:r>
      <w:r w:rsidRPr="000E5369">
        <w:rPr>
          <w:rFonts w:ascii="Centaur" w:hAnsi="Centaur"/>
          <w:sz w:val="28"/>
          <w:szCs w:val="28"/>
        </w:rPr>
        <w:t>and</w:t>
      </w:r>
      <w:r w:rsidRPr="000E5369">
        <w:rPr>
          <w:rFonts w:ascii="Centaur" w:hAnsi="Centaur"/>
          <w:color w:val="FFFFFF" w:themeColor="background1"/>
          <w:sz w:val="28"/>
          <w:szCs w:val="28"/>
        </w:rPr>
        <w:t>l</w:t>
      </w:r>
      <w:r w:rsidRPr="000E5369">
        <w:rPr>
          <w:rFonts w:ascii="Centaur" w:hAnsi="Centaur"/>
          <w:sz w:val="28"/>
          <w:szCs w:val="28"/>
        </w:rPr>
        <w:t>Extrinsic</w:t>
      </w:r>
      <w:r w:rsidRPr="000E5369">
        <w:rPr>
          <w:rFonts w:ascii="Centaur" w:hAnsi="Centaur"/>
          <w:color w:val="FFFFFF" w:themeColor="background1"/>
          <w:sz w:val="28"/>
          <w:szCs w:val="28"/>
        </w:rPr>
        <w:t>l</w:t>
      </w:r>
      <w:r w:rsidRPr="000E5369">
        <w:rPr>
          <w:rFonts w:ascii="Centaur" w:hAnsi="Centaur"/>
          <w:sz w:val="28"/>
          <w:szCs w:val="28"/>
        </w:rPr>
        <w:t>Factors</w:t>
      </w:r>
      <w:r w:rsidRPr="000E5369">
        <w:rPr>
          <w:rFonts w:ascii="Centaur" w:hAnsi="Centaur"/>
          <w:color w:val="FFFFFF" w:themeColor="background1"/>
          <w:sz w:val="28"/>
          <w:szCs w:val="28"/>
        </w:rPr>
        <w:t>l</w:t>
      </w:r>
      <w:r w:rsidRPr="000E5369">
        <w:rPr>
          <w:rFonts w:ascii="Centaur" w:hAnsi="Centaur"/>
          <w:sz w:val="28"/>
          <w:szCs w:val="28"/>
        </w:rPr>
        <w:t>are</w:t>
      </w:r>
      <w:r w:rsidRPr="000E5369">
        <w:rPr>
          <w:rFonts w:ascii="Centaur" w:hAnsi="Centaur"/>
          <w:color w:val="FFFFFF" w:themeColor="background1"/>
          <w:sz w:val="28"/>
          <w:szCs w:val="28"/>
        </w:rPr>
        <w:t>l</w:t>
      </w:r>
      <w:r w:rsidRPr="000E5369">
        <w:rPr>
          <w:rFonts w:ascii="Centaur" w:hAnsi="Centaur"/>
          <w:sz w:val="28"/>
          <w:szCs w:val="28"/>
        </w:rPr>
        <w:t>interdependent</w:t>
      </w:r>
      <w:r w:rsidRPr="000E5369">
        <w:rPr>
          <w:rFonts w:ascii="Centaur" w:hAnsi="Centaur"/>
          <w:color w:val="FFFFFF" w:themeColor="background1"/>
          <w:sz w:val="28"/>
          <w:szCs w:val="28"/>
        </w:rPr>
        <w:t>l</w:t>
      </w:r>
      <w:r w:rsidRPr="000E5369">
        <w:rPr>
          <w:rFonts w:ascii="Centaur" w:hAnsi="Centaur"/>
          <w:sz w:val="28"/>
          <w:szCs w:val="28"/>
        </w:rPr>
        <w:t>with each</w:t>
      </w:r>
      <w:r w:rsidRPr="000E5369">
        <w:rPr>
          <w:rFonts w:ascii="Centaur" w:hAnsi="Centaur"/>
          <w:color w:val="FFFFFF" w:themeColor="background1"/>
          <w:sz w:val="28"/>
          <w:szCs w:val="28"/>
        </w:rPr>
        <w:t>l</w:t>
      </w:r>
      <w:r w:rsidRPr="000E5369">
        <w:rPr>
          <w:rFonts w:ascii="Centaur" w:hAnsi="Centaur"/>
          <w:sz w:val="28"/>
          <w:szCs w:val="28"/>
        </w:rPr>
        <w:t>other.The</w:t>
      </w:r>
      <w:r w:rsidRPr="000E5369">
        <w:rPr>
          <w:rFonts w:ascii="Centaur" w:hAnsi="Centaur"/>
          <w:color w:val="FFFFFF" w:themeColor="background1"/>
          <w:sz w:val="28"/>
          <w:szCs w:val="28"/>
        </w:rPr>
        <w:t>l</w:t>
      </w:r>
      <w:r w:rsidRPr="000E5369">
        <w:rPr>
          <w:rFonts w:ascii="Centaur" w:hAnsi="Centaur"/>
          <w:sz w:val="28"/>
          <w:szCs w:val="28"/>
        </w:rPr>
        <w:t>presence</w:t>
      </w:r>
      <w:r w:rsidRPr="000E5369">
        <w:rPr>
          <w:rFonts w:ascii="Centaur" w:hAnsi="Centaur"/>
          <w:color w:val="FFFFFF" w:themeColor="background1"/>
          <w:sz w:val="28"/>
          <w:szCs w:val="28"/>
        </w:rPr>
        <w:t>l</w:t>
      </w:r>
      <w:r w:rsidRPr="000E5369">
        <w:rPr>
          <w:rFonts w:ascii="Centaur" w:hAnsi="Centaur"/>
          <w:sz w:val="28"/>
          <w:szCs w:val="28"/>
        </w:rPr>
        <w:t>of</w:t>
      </w:r>
      <w:r w:rsidRPr="000E5369">
        <w:rPr>
          <w:rFonts w:ascii="Centaur" w:hAnsi="Centaur"/>
          <w:color w:val="FFFFFF" w:themeColor="background1"/>
          <w:sz w:val="28"/>
          <w:szCs w:val="28"/>
        </w:rPr>
        <w:t>l</w:t>
      </w:r>
      <w:r w:rsidRPr="000E5369">
        <w:rPr>
          <w:rFonts w:ascii="Centaur" w:hAnsi="Centaur"/>
          <w:sz w:val="28"/>
          <w:szCs w:val="28"/>
        </w:rPr>
        <w:t>extrinsic</w:t>
      </w:r>
      <w:r w:rsidRPr="000E5369">
        <w:rPr>
          <w:rFonts w:ascii="Centaur" w:hAnsi="Centaur"/>
          <w:color w:val="FFFFFF" w:themeColor="background1"/>
          <w:sz w:val="28"/>
          <w:szCs w:val="28"/>
        </w:rPr>
        <w:t>l</w:t>
      </w:r>
      <w:r w:rsidRPr="000E5369">
        <w:rPr>
          <w:rFonts w:ascii="Centaur" w:hAnsi="Centaur"/>
          <w:sz w:val="28"/>
          <w:szCs w:val="28"/>
        </w:rPr>
        <w:t>factors</w:t>
      </w:r>
      <w:r w:rsidRPr="000E5369">
        <w:rPr>
          <w:rFonts w:ascii="Centaur" w:hAnsi="Centaur"/>
          <w:color w:val="FFFFFF" w:themeColor="background1"/>
          <w:sz w:val="28"/>
          <w:szCs w:val="28"/>
        </w:rPr>
        <w:t>l</w:t>
      </w:r>
      <w:r w:rsidRPr="000E5369">
        <w:rPr>
          <w:rFonts w:ascii="Centaur" w:hAnsi="Centaur"/>
          <w:sz w:val="28"/>
          <w:szCs w:val="28"/>
        </w:rPr>
        <w:t>will</w:t>
      </w:r>
      <w:r w:rsidRPr="000E5369">
        <w:rPr>
          <w:rFonts w:ascii="Centaur" w:hAnsi="Centaur"/>
          <w:color w:val="FFFFFF" w:themeColor="background1"/>
          <w:sz w:val="28"/>
          <w:szCs w:val="28"/>
        </w:rPr>
        <w:t>l</w:t>
      </w:r>
      <w:r w:rsidRPr="000E5369">
        <w:rPr>
          <w:rFonts w:ascii="Centaur" w:hAnsi="Centaur"/>
          <w:sz w:val="28"/>
          <w:szCs w:val="28"/>
        </w:rPr>
        <w:t>only</w:t>
      </w:r>
      <w:r w:rsidRPr="000E5369">
        <w:rPr>
          <w:rFonts w:ascii="Centaur" w:hAnsi="Centaur"/>
          <w:color w:val="FFFFFF" w:themeColor="background1"/>
          <w:sz w:val="28"/>
          <w:szCs w:val="28"/>
        </w:rPr>
        <w:t>l</w:t>
      </w:r>
      <w:r w:rsidRPr="000E5369">
        <w:rPr>
          <w:rFonts w:ascii="Centaur" w:hAnsi="Centaur"/>
          <w:sz w:val="28"/>
          <w:szCs w:val="28"/>
        </w:rPr>
        <w:t>eliminate</w:t>
      </w:r>
      <w:r w:rsidRPr="000E5369">
        <w:rPr>
          <w:rFonts w:ascii="Centaur" w:hAnsi="Centaur"/>
          <w:color w:val="FFFFFF" w:themeColor="background1"/>
          <w:sz w:val="28"/>
          <w:szCs w:val="28"/>
        </w:rPr>
        <w:t>l</w:t>
      </w:r>
      <w:r w:rsidRPr="000E5369">
        <w:rPr>
          <w:rFonts w:ascii="Centaur" w:hAnsi="Centaur"/>
          <w:sz w:val="28"/>
          <w:szCs w:val="28"/>
        </w:rPr>
        <w:t>job dissatisfaction; however, it will not provide satisfaction. On the other hand, adequate supply in Intrinsic Factors will foster inner growth and development leading to higher productivity and performance.</w:t>
      </w:r>
      <w:r w:rsidRPr="000E5369">
        <w:rPr>
          <w:rFonts w:ascii="Centaur" w:hAnsi="Centaur"/>
          <w:color w:val="FFFFFF" w:themeColor="background1"/>
          <w:sz w:val="28"/>
          <w:szCs w:val="28"/>
        </w:rPr>
        <w:t>”</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 xml:space="preserve">Intrinsic motivation additionally affects business growth that arises after previous failures. In particular, intrinsic motivation acts as a persistence mechanism which, along with the learning process associated with accepting blame for previous failures, generating higher growth in subsequent attempts </w:t>
      </w:r>
      <w:r w:rsidR="008E716B" w:rsidRPr="000E5369">
        <w:rPr>
          <w:rFonts w:ascii="Centaur" w:hAnsi="Centaur"/>
          <w:sz w:val="28"/>
          <w:szCs w:val="28"/>
        </w:rPr>
        <w:lastRenderedPageBreak/>
        <w:fldChar w:fldCharType="begin" w:fldLock="1"/>
      </w:r>
      <w:r w:rsidRPr="000E5369">
        <w:rPr>
          <w:rFonts w:ascii="Centaur" w:hAnsi="Centaur"/>
          <w:sz w:val="28"/>
          <w:szCs w:val="28"/>
        </w:rPr>
        <w:instrText>ADDIN CSL_CITATION {"citationItems":[{"id":"ITEM-1","itemData":{"DOI":"10.1136/bmjopen-2014-006982","ISSN":"2044-6055 (Electronic)","PMID":"25795694","abstract":"OBJECTIVES: We investigated the association between breastfeeding duration during  the first half year of life and the risk of early childhood caries from the age of 30 to 66</w:instrText>
      </w:r>
      <w:r w:rsidRPr="000E5369">
        <w:rPr>
          <w:sz w:val="28"/>
          <w:szCs w:val="28"/>
        </w:rPr>
        <w:instrText> </w:instrText>
      </w:r>
      <w:r w:rsidRPr="000E5369">
        <w:rPr>
          <w:rFonts w:ascii="Centaur" w:hAnsi="Centaur"/>
          <w:sz w:val="28"/>
          <w:szCs w:val="28"/>
        </w:rPr>
        <w:instrText>months in Japan. DESIGN: Observational study of a longitudinal survey. SETTING: A secondary data analysis of the Japanese Longitudinal Survey of Babies in the 21st Century. PARTICIPANTS: 43,383 infants at the age of 6</w:instrText>
      </w:r>
      <w:r w:rsidRPr="000E5369">
        <w:rPr>
          <w:sz w:val="28"/>
          <w:szCs w:val="28"/>
        </w:rPr>
        <w:instrText> </w:instrText>
      </w:r>
      <w:r w:rsidRPr="000E5369">
        <w:rPr>
          <w:rFonts w:ascii="Centaur" w:hAnsi="Centaur"/>
          <w:sz w:val="28"/>
          <w:szCs w:val="28"/>
        </w:rPr>
        <w:instrText>months. OUTCOME MEASURES: Early childhood caries--defined as a child's visit to a dentist for treatment of dental caries during the past 12</w:instrText>
      </w:r>
      <w:r w:rsidRPr="000E5369">
        <w:rPr>
          <w:sz w:val="28"/>
          <w:szCs w:val="28"/>
        </w:rPr>
        <w:instrText> </w:instrText>
      </w:r>
      <w:r w:rsidRPr="000E5369">
        <w:rPr>
          <w:rFonts w:ascii="Centaur" w:hAnsi="Centaur"/>
          <w:sz w:val="28"/>
          <w:szCs w:val="28"/>
        </w:rPr>
        <w:instrText>months--was ascertained from the caregiver from the age of 30</w:instrText>
      </w:r>
      <w:r w:rsidRPr="000E5369">
        <w:rPr>
          <w:sz w:val="28"/>
          <w:szCs w:val="28"/>
        </w:rPr>
        <w:instrText> </w:instrText>
      </w:r>
      <w:r w:rsidRPr="000E5369">
        <w:rPr>
          <w:rFonts w:ascii="Centaur" w:hAnsi="Centaur"/>
          <w:sz w:val="28"/>
          <w:szCs w:val="28"/>
        </w:rPr>
        <w:instrText>months in the survey. We estimated the risk of dental caries each year according to duration of breast feeding using logistic regression analyses. We controlled for a set of biological factors (birth weight, sex, parity and maternal age at delivery) and socioeconomic factors (maternal educational attainment and smoking status, marital status at delivery, family income and region of birth and residence). RESULTS: We found that infants who had been breast fed for at least 6 or 7</w:instrText>
      </w:r>
      <w:r w:rsidRPr="000E5369">
        <w:rPr>
          <w:sz w:val="28"/>
          <w:szCs w:val="28"/>
        </w:rPr>
        <w:instrText> </w:instrText>
      </w:r>
      <w:r w:rsidRPr="000E5369">
        <w:rPr>
          <w:rFonts w:ascii="Centaur" w:hAnsi="Centaur"/>
          <w:sz w:val="28"/>
          <w:szCs w:val="28"/>
        </w:rPr>
        <w:instrText>months, both exclusively and partially, were at elevated risk of dental caries at the age of 30</w:instrText>
      </w:r>
      <w:r w:rsidRPr="000E5369">
        <w:rPr>
          <w:sz w:val="28"/>
          <w:szCs w:val="28"/>
        </w:rPr>
        <w:instrText> </w:instrText>
      </w:r>
      <w:r w:rsidRPr="000E5369">
        <w:rPr>
          <w:rFonts w:ascii="Centaur" w:hAnsi="Centaur"/>
          <w:sz w:val="28"/>
          <w:szCs w:val="28"/>
        </w:rPr>
        <w:instrText>months compared with those who had been exclusively formula fed. Adjusted ORs were 1.78 (95% CI, (1.45 to 2.17)) for the exclusively breastfed group and 1.39 (1.14 to 1.70) for the partially breastfed group. However, the associations became attenuated through the follow-up period and were no longer statistically significant beyond the age of 42</w:instrText>
      </w:r>
      <w:r w:rsidRPr="000E5369">
        <w:rPr>
          <w:sz w:val="28"/>
          <w:szCs w:val="28"/>
        </w:rPr>
        <w:instrText> </w:instrText>
      </w:r>
      <w:r w:rsidRPr="000E5369">
        <w:rPr>
          <w:rFonts w:ascii="Centaur" w:hAnsi="Centaur"/>
          <w:sz w:val="28"/>
          <w:szCs w:val="28"/>
        </w:rPr>
        <w:instrText>months for the partially breastfed group and beyond the age of 54</w:instrText>
      </w:r>
      <w:r w:rsidRPr="000E5369">
        <w:rPr>
          <w:sz w:val="28"/>
          <w:szCs w:val="28"/>
        </w:rPr>
        <w:instrText> </w:instrText>
      </w:r>
      <w:r w:rsidRPr="000E5369">
        <w:rPr>
          <w:rFonts w:ascii="Centaur" w:hAnsi="Centaur"/>
          <w:sz w:val="28"/>
          <w:szCs w:val="28"/>
        </w:rPr>
        <w:instrText>months for the exclusively breastfed group. CONCLUSIONS: We found an association between breast feeding for at least 6 or 7</w:instrText>
      </w:r>
      <w:r w:rsidRPr="000E5369">
        <w:rPr>
          <w:sz w:val="28"/>
          <w:szCs w:val="28"/>
        </w:rPr>
        <w:instrText> </w:instrText>
      </w:r>
      <w:r w:rsidRPr="000E5369">
        <w:rPr>
          <w:rFonts w:ascii="Centaur" w:hAnsi="Centaur"/>
          <w:sz w:val="28"/>
          <w:szCs w:val="28"/>
        </w:rPr>
        <w:instrText>months and elevated risk of dental caries at age 30</w:instrText>
      </w:r>
      <w:r w:rsidRPr="000E5369">
        <w:rPr>
          <w:sz w:val="28"/>
          <w:szCs w:val="28"/>
        </w:rPr>
        <w:instrText> </w:instrText>
      </w:r>
      <w:r w:rsidRPr="000E5369">
        <w:rPr>
          <w:rFonts w:ascii="Centaur" w:hAnsi="Centaur"/>
          <w:sz w:val="28"/>
          <w:szCs w:val="28"/>
        </w:rPr>
        <w:instrText>months. However, the association became attenuated as children grew older.","author":[{"dropping-particle":"","family":"Kato","given":"Tsuguhiko","non-dropping-particle":"","parse-names":false,"suffix":""},{"dropping-particle":"","family":"Yorifuji","given":"Takashi","non-dropping-particle":"","parse-names":false,"suffix":""},{"dropping-particle":"","family":"Yamakawa","given":"Michiyo","non-dropping-particle":"","parse-names":false,"suffix":""},{"dropping-particle":"","family":"Inoue","given":"Sachiko","non-dropping-particle":"","parse-names":false,"suffix":""},{"dropping-particle":"","family":"Saito","given":"Keiko","non-dropping-particle":"","parse-names":false,"suffix":""},{"dropping-particle":"","family":"Doi","given":"Hiroyuki","non-dropping-particle":"","parse-names":false,"suffix":""},{"dropping-particle":"","family":"Kawachi","given":"Ichiro","non-dropping-particle":"","parse-names":false,"suffix":""}],"container-title":"BMJ open","id":"ITEM-1","issue":"3","issued":{"date-parts":[["2015","3"]]},"language":"eng","page":"e006982","title":"Association of breast feeding with early childhood dental caries: Japanese  population-based study.","type":"article-journal","volume":"5"},"uris":["http://www.mendeley.com/documents/?uuid=2d8fa115-1d42-4ed1-ac42-987ca0ae7ebd"]}],"mendeley":{"formattedCitation":"(Kato et al. 2015)","plainTextFormattedCitation":"(Kato et al. 2015)","previouslyFormattedCitation":"(Kato et al. 2015)"},"properties":{"noteIndex":0},"schema":"https://github.com/citation-style-language/schema/raw/master/csl-citation.json"}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(Kato et al. 2015)</w:t>
      </w:r>
      <w:r w:rsidR="008E716B" w:rsidRPr="000E5369">
        <w:rPr>
          <w:rFonts w:ascii="Centaur" w:hAnsi="Centaur"/>
          <w:sz w:val="28"/>
          <w:szCs w:val="28"/>
        </w:rPr>
        <w:fldChar w:fldCharType="end"/>
      </w:r>
      <w:r w:rsidRPr="000E5369">
        <w:rPr>
          <w:rFonts w:ascii="Centaur" w:hAnsi="Centaur"/>
          <w:sz w:val="28"/>
          <w:szCs w:val="28"/>
        </w:rPr>
        <w:t xml:space="preserve">. This research is in line with the theory proposed by Baldoni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{"citationItems":[{"id":"ITEM-1","itemData":{"author":[{"dropping-particle":"","family":"Baldoni","given":"John","non-dropping-particle":"","parse-names":false,"suffix":""}],"id":"ITEM-1","issued":{"date-parts":[["2011"]]},"publisher":"McGraw-Hill","publisher-place":"New York","title":"Motivation, Secrets of Great Leaders","type":"book"},"suppress-author":1,"uris":["http://www.mendeley.com/documents/?uuid=7a62f059-98ad-4a14-aac7-f0ad16ed2f03"]}],"mendeley":{"formattedCitation":"(2011)","plainTextFormattedCitation":"(2011)","previouslyFormattedCitation":"(2011)"},"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(2011)</w:t>
      </w:r>
      <w:r w:rsidR="008E716B" w:rsidRPr="000E5369">
        <w:rPr>
          <w:rFonts w:ascii="Centaur" w:hAnsi="Centaur"/>
          <w:sz w:val="28"/>
          <w:szCs w:val="28"/>
        </w:rPr>
        <w:fldChar w:fldCharType="end"/>
      </w:r>
      <w:r w:rsidRPr="000E5369">
        <w:rPr>
          <w:rFonts w:ascii="Centaur" w:hAnsi="Centaur"/>
          <w:sz w:val="28"/>
          <w:szCs w:val="28"/>
        </w:rPr>
        <w:t xml:space="preserve">, and Kreitner and Angelo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author":[{"dropping-particle":"","family":"Kreitner","given":"Robert","non-dropping-particle":"","parse-names":false,"suffix":""},{"dropping-particle":"","family":"Kinicki","given":"Angelo","non-dropping-particle":"","parse-names":false,"suffix":""}],"id":"ITEM-1","issued":{"date-parts":[["2010"]]},"publisher":"McGraw-Hill Companies, Inc.","publisher-place":"New York","title":"Organizational Behavior","type":"book"},"suppress-author":1,"uris":["http://www.mendeley.com/documents/?uuid=c240ee2e-acbe-31ae-a348-188bafa16420"]}],"mendeley":{"formattedCitation":"(2010)","plainTextFormattedCitation":"(2010)","previouslyFormattedCitation":"(2010)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(2010)</w:t>
      </w:r>
      <w:r w:rsidR="008E716B" w:rsidRPr="000E5369">
        <w:rPr>
          <w:rFonts w:ascii="Centaur" w:hAnsi="Centaur"/>
          <w:sz w:val="28"/>
          <w:szCs w:val="28"/>
        </w:rPr>
        <w:fldChar w:fldCharType="end"/>
      </w:r>
      <w:r w:rsidRPr="000E5369">
        <w:rPr>
          <w:rFonts w:ascii="Centaur" w:hAnsi="Centaur"/>
          <w:sz w:val="28"/>
          <w:szCs w:val="28"/>
        </w:rPr>
        <w:t xml:space="preserve">. </w:t>
      </w:r>
    </w:p>
    <w:p w:rsidR="00497FE6" w:rsidRPr="000E5369" w:rsidRDefault="00497FE6" w:rsidP="00497FE6">
      <w:pPr>
        <w:spacing w:before="0" w:line="240" w:lineRule="auto"/>
        <w:ind w:firstLine="567"/>
        <w:jc w:val="both"/>
        <w:rPr>
          <w:rFonts w:ascii="Centaur" w:hAnsi="Centaur"/>
          <w:sz w:val="28"/>
          <w:szCs w:val="28"/>
        </w:rPr>
      </w:pPr>
    </w:p>
    <w:p w:rsidR="00497FE6" w:rsidRPr="000E5369" w:rsidRDefault="00497FE6" w:rsidP="007F35E9">
      <w:pPr>
        <w:spacing w:before="0" w:line="240" w:lineRule="auto"/>
        <w:ind w:left="90" w:firstLine="0"/>
        <w:jc w:val="both"/>
        <w:rPr>
          <w:rFonts w:ascii="Centaur" w:hAnsi="Centaur"/>
          <w:b/>
          <w:bCs/>
          <w:sz w:val="28"/>
          <w:szCs w:val="28"/>
        </w:rPr>
      </w:pPr>
      <w:r w:rsidRPr="000E5369">
        <w:rPr>
          <w:rFonts w:ascii="Centaur" w:hAnsi="Centaur"/>
          <w:b/>
          <w:bCs/>
          <w:sz w:val="28"/>
          <w:szCs w:val="28"/>
        </w:rPr>
        <w:t>The Influence of Competence, Work Motivation, and Entrepreneurship Orientation on Business Performance Moderated by the COVID-19 Pandemic</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 xml:space="preserve">Research results related to the COVID-19 pandemic as moderation indicate </w:t>
      </w:r>
      <w:r w:rsidRPr="000E5369">
        <w:rPr>
          <w:rFonts w:ascii="Centaur" w:hAnsi="Centaur"/>
          <w:color w:val="FFFFFF" w:themeColor="background1"/>
          <w:sz w:val="28"/>
          <w:szCs w:val="28"/>
        </w:rPr>
        <w:t>“</w:t>
      </w:r>
      <w:r w:rsidRPr="000E5369">
        <w:rPr>
          <w:rFonts w:ascii="Centaur" w:hAnsi="Centaur"/>
          <w:sz w:val="28"/>
          <w:szCs w:val="28"/>
        </w:rPr>
        <w:t>that the COVID-19 pandemic moderates the effect of competence on Entrepreneurship Orientation and business performance and moderates the influence of Entrepreneurship Orientation on business performance. The results of the study indicate that the COVID-19 pandemic has further strengthened the relationship between the influence of competence on Entrepreneurship Orientation and business performance. In contrast, research findings indicate that the COVID-19 pandemic does not moderate the effect of work motivation on</w:t>
      </w:r>
      <w:r w:rsidRPr="000E5369">
        <w:rPr>
          <w:rFonts w:ascii="Centaur" w:hAnsi="Centaur"/>
          <w:color w:val="FFFFFF" w:themeColor="background1"/>
          <w:sz w:val="28"/>
          <w:szCs w:val="28"/>
        </w:rPr>
        <w:t>”</w:t>
      </w:r>
      <w:r w:rsidRPr="000E5369">
        <w:rPr>
          <w:rFonts w:ascii="Centaur" w:hAnsi="Centaur"/>
          <w:sz w:val="28"/>
          <w:szCs w:val="28"/>
        </w:rPr>
        <w:t xml:space="preserve"> Entrepreneurship Orientation and business performance.</w:t>
      </w:r>
    </w:p>
    <w:p w:rsidR="00497FE6" w:rsidRPr="000E5369" w:rsidRDefault="00497FE6" w:rsidP="007F35E9">
      <w:pPr>
        <w:spacing w:before="0" w:line="240" w:lineRule="auto"/>
        <w:ind w:left="0" w:firstLine="900"/>
        <w:jc w:val="both"/>
        <w:rPr>
          <w:rFonts w:ascii="Centaur" w:hAnsi="Centaur"/>
          <w:color w:val="FF0000"/>
          <w:sz w:val="28"/>
          <w:szCs w:val="28"/>
        </w:rPr>
      </w:pPr>
      <w:r w:rsidRPr="000E5369">
        <w:rPr>
          <w:rFonts w:ascii="Centaur" w:hAnsi="Centaur"/>
          <w:sz w:val="28"/>
          <w:szCs w:val="28"/>
        </w:rPr>
        <w:t>The COVID-19 pandemic as a moderating variable, both reinforcing and not reinforcing due to corona virus outbreak has clearly had an impact on SMEs. This situation is predicted in the next few years and even SMEs believe that there is no certainty over the end of the COVID-19 pandemic. Therefore, the activities of SMEs that have been recently conducted are based on the provisions and laws of health protocols. These provisions however cause the resulting turnover to fluctuate</w:t>
      </w:r>
      <w:r w:rsidRPr="000E5369">
        <w:rPr>
          <w:rFonts w:ascii="Centaur" w:hAnsi="Centaur"/>
          <w:color w:val="FF0000"/>
          <w:sz w:val="28"/>
          <w:szCs w:val="28"/>
        </w:rPr>
        <w:t xml:space="preserve">. </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 xml:space="preserve">The results of this study are in line with the COVID-19 pandemic as a trigger which states that the situation and conditions due to corona virus outbreak will have an impact not only on human health and safety, but also including all human activities, such as the economic field. Application of Law number 6 of 2018 concerning Health Quarantine and the Result of the Decree of the Governor of East Java regarding Large-Scale Social Restrictions (PSBB) for greater Surabaya City Region, Sidoarjo Regency and Gresik Regency are influential on the sustainability of SMEs. The research findings are in accordance with the research of Sansa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{"citationItems":[{"id":"ITEM-1","itemData":{"DOI":"10.2139/SSRN.3567901","abstract":"Globally, the COVID - 19 shock is severe even compared to the Great Financial Crisis in 2007–08. However, the impact of the COVID - 19 on the financial markets has never been researched. The present study is undertaken to investigate the impact of the COVID - 19 on the Financial Markets from the period dated 1st March 2020 to 25th March 2020 in China and USA. The study applied a Simple regression model to investigate the impact of the COVID - 19 on the Financial Markets during the period from dated 1st March 2020 to 25th March 2020 in China and USA. Time series data from China COVID - 19 Statistics Reports and Trading Economics from 1st March 2020 to 25th March 2020 for China and USA were employed by the study. The study used the Shanghai Stock Exchange as a sample for China and the New York Dow Jones as a sample for the USA. On the process of investigating the impact of the COVID - 19 on the financial markets the study assumes the COVID - 19 Confirmed cases to be the independent variable while Shanghai Stock Exchange and New York Dow Jones to be dependent variables of the study in China and USA. The study findings were in actual fact very interesting. The study findings revealed that there is a positive significant relationship between the COVID - 19 confirmed cases and all the financial markets (Shanghai stock exchange and New York Dow Jones) from 1st March 2020 to 25th March 2020 in China and USA. That means the COVID - 19 had a significant impact on the financial markets from 1st March 2020 to 25th March 2020 in China and USA.","author":[{"dropping-particle":"","family":"Sansa","given":"Nuhu A.","non-dropping-particle":"","parse-names":false,"suffix":""}],"container-title":"Electronic Research Journal of Social Sciences and Humanities","id":"ITEM-1","issue":"II","issued":{"date-parts":[["2020","4","3"]]},"publisher":"Elsevier BV","title":"The Impact of the COVID-19 on the Financial Markets: Evidence from China and USA","type":"article-journal","volume":"2"},"suppress-author":1,"uris":["http://www.mendeley.com/documents/?uuid=0b056057-db64-326a-81ae-38f98104f439"]}],"mendeley":{"formattedCitation":"(2020)","plainTextFormattedCitation":"(2020)","previouslyFormattedCitation":"(2020)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(2020)</w:t>
      </w:r>
      <w:r w:rsidR="008E716B" w:rsidRPr="000E5369">
        <w:rPr>
          <w:rFonts w:ascii="Centaur" w:hAnsi="Centaur"/>
          <w:sz w:val="28"/>
          <w:szCs w:val="28"/>
        </w:rPr>
        <w:fldChar w:fldCharType="end"/>
      </w:r>
      <w:r w:rsidRPr="000E5369">
        <w:rPr>
          <w:rFonts w:ascii="Centaur" w:hAnsi="Centaur"/>
          <w:sz w:val="28"/>
          <w:szCs w:val="28"/>
        </w:rPr>
        <w:t xml:space="preserve"> and Ruiz Estrada et al </w:t>
      </w:r>
      <w:r w:rsidR="008E716B" w:rsidRPr="000E5369">
        <w:rPr>
          <w:rFonts w:ascii="Centaur" w:hAnsi="Centaur"/>
          <w:sz w:val="28"/>
          <w:szCs w:val="28"/>
        </w:rPr>
        <w:fldChar w:fldCharType="begin" w:fldLock="1"/>
      </w:r>
      <w:r w:rsidRPr="000E5369">
        <w:rPr>
          <w:rFonts w:ascii="Centaur" w:hAnsi="Centaur"/>
          <w:sz w:val="28"/>
          <w:szCs w:val="28"/>
        </w:rPr>
        <w:instrText>ADDIN CSL_CITATION {"citationItems":[{"id":"ITEM-1","itemData":{"DOI":"10.2139/SSRN.3593144","abstract":"This paper formulates an analytical framework to understand the spatiotemporal patterns of epidemic disease occurrence, its relevance, and implications to financial markets activity. The paper suggests a paradigm shift: a new multi-dimensional geometric approach to capture all symmetrical and asymmetrical strategic graphical movement. Furthermore, it introduces the concept of stagpression, a new economic phenomenon to explain the uncharted territory the world economies and financial markets are getting into. The Massive Pandemic Contagious Diseases Damage on Stock Markets Simulator (</w:instrText>
      </w:r>
      <w:r w:rsidRPr="000E5369">
        <w:rPr>
          <w:rFonts w:ascii="Cambria" w:hAnsi="Cambria" w:cs="Cambria"/>
          <w:sz w:val="28"/>
          <w:szCs w:val="28"/>
        </w:rPr>
        <w:instrText>φ</w:instrText>
      </w:r>
      <w:r w:rsidRPr="000E5369">
        <w:rPr>
          <w:rFonts w:ascii="Centaur" w:hAnsi="Centaur"/>
          <w:sz w:val="28"/>
          <w:szCs w:val="28"/>
        </w:rPr>
        <w:instrText>-Simulator) to evaluate the determinants of capital markets behavior in the presence of an infectious disease outbreak. The model investigates the impact of Covid-19 on the performance of ten stock markets, including S&amp;P 500, TWSE, Shanghai Stock Exchange, Nikkei 225, DAX, Hang Seng, U.K.-FTSE, KRX, SGX, and Malaysia-FTSE.","author":[{"dropping-particle":"","family":"Ruiz Estrada","given":"Mario Arturo","non-dropping-particle":"","parse-names":false,"suffix":""},{"dropping-particle":"","family":"Koutronas","given":"Evangelos","non-dropping-particle":"","parse-names":false,"suffix":""},{"dropping-particle":"","family":"Lee","given":"Minsoo","non-dropping-particle":"","parse-names":false,"suffix":""}],"container-title":"Contemporary Economics","id":"ITEM-1","issue":"1","issued":{"date-parts":[["2020","5","5"]]},"page":"19-33","publisher":"Elsevier BV","title":"Stagpression: The Economic and Financial Impact of COVID-19 Pandemic","type":"article-journal","volume":"15"},"suppress-author":1,"uris":["http://www.mendeley.com/documents/?uuid=28194a9e-2dc4-3934-b4c1-92b5285d829e"]}],"mendeley":{"formattedCitation":"(2020)","plainTextFormattedCitation":"(2020)","previouslyFormattedCitation":"(2020)"},"properties":{"noteIndex":0},"schema":"https://github.com/citation-style-language/schema/raw/master/csl-citation.json"}</w:instrText>
      </w:r>
      <w:r w:rsidR="008E716B" w:rsidRPr="000E5369">
        <w:rPr>
          <w:rFonts w:ascii="Centaur" w:hAnsi="Centaur"/>
          <w:sz w:val="28"/>
          <w:szCs w:val="28"/>
        </w:rPr>
        <w:fldChar w:fldCharType="separate"/>
      </w:r>
      <w:r w:rsidRPr="000E5369">
        <w:rPr>
          <w:rFonts w:ascii="Centaur" w:hAnsi="Centaur"/>
          <w:noProof/>
          <w:sz w:val="28"/>
          <w:szCs w:val="28"/>
        </w:rPr>
        <w:t>(2020)</w:t>
      </w:r>
      <w:r w:rsidR="008E716B" w:rsidRPr="000E5369">
        <w:rPr>
          <w:rFonts w:ascii="Centaur" w:hAnsi="Centaur"/>
          <w:sz w:val="28"/>
          <w:szCs w:val="28"/>
        </w:rPr>
        <w:fldChar w:fldCharType="end"/>
      </w:r>
      <w:r w:rsidRPr="000E5369">
        <w:rPr>
          <w:rFonts w:ascii="Centaur" w:hAnsi="Centaur"/>
          <w:sz w:val="28"/>
          <w:szCs w:val="28"/>
        </w:rPr>
        <w:t xml:space="preserve"> which indicate that one of the external factors that affect the performance and growth of SMEs since 2019 is the COVID-19 Pandemic, demonstrating a direct impact on SMEs.</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Sharia-based business is a business activity carried out by actors business (entrepreneur) based on Islamic law. This is of course with Pay attention to the use of assets and how to obtain profits contrary to the teachings of Islam.</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lastRenderedPageBreak/>
        <w:t>There are four principles (axios) in Islamic Economics that are mandatory applied in shari'ah business, namely:, Balance or alignment (Equilibrium), Free Will (Free Will), and Responsibility (Responsibility). First Tawhid (Unity) Monotheism brings people to acknowledge the oneness of Allah as the Lord of the universe natural. This has the meaning of the belief that the whole is in the face of this earth came from Him and will return to Him. Only God is absolutely true owner of all that He created. So every form of activity especially those related to muamalah and business, then Humans must be on the path of existing rules.</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Second Balance or alignment (Equilibrium) Balance or alignment is a concept that shows the presence social justice. Third Free will, namely the existence of ability or potential possessed humans in choosing a path or taking various choices, because freedom is not limited. However, it is necessary to pay close attention and remember that God gave this free will so that humans are in line with principles the basis of his creation on earth, namely as a caliph. To be free will this can go hand in hand between the benefit of personal interests and the interests of the people. Forth Responsibility is closely related to human responsibility to Lord for all forms of deeds that they have done and also responsibility to humans as a society. Because in this case humans are not alone and bound by the laws they make themselves.</w:t>
      </w:r>
    </w:p>
    <w:p w:rsidR="00497FE6" w:rsidRPr="000E5369" w:rsidRDefault="00497FE6" w:rsidP="007F35E9">
      <w:pPr>
        <w:spacing w:before="0" w:line="240" w:lineRule="auto"/>
        <w:ind w:left="0" w:firstLine="0"/>
        <w:jc w:val="both"/>
        <w:rPr>
          <w:rFonts w:ascii="Centaur" w:hAnsi="Centaur"/>
          <w:sz w:val="28"/>
          <w:szCs w:val="28"/>
          <w:lang w:val="en-US"/>
        </w:rPr>
      </w:pPr>
    </w:p>
    <w:p w:rsidR="00497FE6" w:rsidRPr="000E5369" w:rsidRDefault="00497FE6" w:rsidP="00A43BA5">
      <w:pPr>
        <w:pStyle w:val="ListParagraph"/>
        <w:widowControl/>
        <w:numPr>
          <w:ilvl w:val="0"/>
          <w:numId w:val="13"/>
        </w:numPr>
        <w:autoSpaceDE/>
        <w:autoSpaceDN/>
        <w:spacing w:before="0" w:line="240" w:lineRule="auto"/>
        <w:ind w:left="540" w:hanging="540"/>
        <w:contextualSpacing/>
        <w:rPr>
          <w:rFonts w:ascii="Centaur" w:hAnsi="Centaur"/>
          <w:b/>
          <w:bCs/>
          <w:sz w:val="28"/>
          <w:szCs w:val="28"/>
        </w:rPr>
      </w:pPr>
      <w:r w:rsidRPr="000E5369">
        <w:rPr>
          <w:rFonts w:ascii="Centaur" w:hAnsi="Centaur"/>
          <w:b/>
          <w:bCs/>
          <w:sz w:val="28"/>
          <w:szCs w:val="28"/>
        </w:rPr>
        <w:t>CONCLUSION</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ab/>
        <w:t xml:space="preserve">Competence and work motivation have a significant effect on SME Entrepreneurship Orientation. This result indicates that the consistency of motives, the nature of the response and physical characteristics, self-concept and knowledge and skills possessed by business actors affect entrepreneurial orientation. Self-motivation is thus required to generate, direct, maintain the attitude and behavior of business actors serving as the cause of entrepreneurial orientation. </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noProof/>
          <w:sz w:val="28"/>
          <w:szCs w:val="28"/>
        </w:rPr>
        <w:t>Entrepreneurship Orientation has a significant effect on business performance. This result signifies that SMEs in performing their activities are action-oriented, with simple and practical mindset, by pursuing and even creating opportunities followed by high discipline.</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 xml:space="preserve">Competence and work motivation have a significant effect on business performance. Competence relates to the disclosure of clear business objectives, expecting to provide satisfaction to consumers. Micro-enterprises strongly </w:t>
      </w:r>
      <w:r w:rsidRPr="000E5369">
        <w:rPr>
          <w:rFonts w:ascii="Centaur" w:hAnsi="Centaur"/>
          <w:sz w:val="28"/>
          <w:szCs w:val="28"/>
        </w:rPr>
        <w:lastRenderedPageBreak/>
        <w:t>influence through self-motivation to generate, direct, maintain attitude and behavior.</w:t>
      </w:r>
    </w:p>
    <w:p w:rsidR="00497FE6" w:rsidRPr="000E5369" w:rsidRDefault="00497FE6" w:rsidP="007F35E9">
      <w:pPr>
        <w:spacing w:before="0" w:line="240" w:lineRule="auto"/>
        <w:ind w:left="0" w:firstLine="900"/>
        <w:jc w:val="both"/>
        <w:rPr>
          <w:rFonts w:ascii="Centaur" w:hAnsi="Centaur"/>
          <w:sz w:val="28"/>
          <w:szCs w:val="28"/>
        </w:rPr>
      </w:pPr>
      <w:r w:rsidRPr="000E5369">
        <w:rPr>
          <w:rFonts w:ascii="Centaur" w:hAnsi="Centaur"/>
          <w:sz w:val="28"/>
          <w:szCs w:val="28"/>
        </w:rPr>
        <w:t>The COVID-19 pandemic moderates the influence of Competence on Entrepreneurship Orientation on business performance. However, the COVID-19 pandemic does not moderate the effect of work motivation on Entrepreneurship Orientation and business performance. The moderating role of COVID-19 pandemic has a significant influence indicating that the moderated influence relationship is to strengthen the intended influence relationship, while the moderation of the insignificant influence relationship means to weaken the influence relationship between the intended variables.</w:t>
      </w:r>
    </w:p>
    <w:p w:rsidR="00497FE6" w:rsidRPr="00212855" w:rsidRDefault="00497FE6" w:rsidP="00212855">
      <w:pPr>
        <w:spacing w:before="0" w:line="240" w:lineRule="auto"/>
        <w:ind w:left="0" w:firstLine="900"/>
        <w:jc w:val="both"/>
        <w:rPr>
          <w:rFonts w:ascii="Centaur" w:hAnsi="Centaur"/>
          <w:sz w:val="28"/>
          <w:szCs w:val="28"/>
          <w:lang w:val="en-US"/>
        </w:rPr>
      </w:pPr>
      <w:r w:rsidRPr="000E5369">
        <w:rPr>
          <w:rFonts w:ascii="Centaur" w:hAnsi="Centaur"/>
          <w:sz w:val="28"/>
          <w:szCs w:val="28"/>
        </w:rPr>
        <w:t>The implementation of entrepreneurship is based on the principle of justice, value ukhuwah, balance, and not harming others. This implementation is related to the principles of Islamic economics.</w:t>
      </w:r>
    </w:p>
    <w:p w:rsidR="00497FE6" w:rsidRPr="00212855" w:rsidRDefault="00497FE6" w:rsidP="00212855">
      <w:pPr>
        <w:spacing w:before="0" w:line="240" w:lineRule="auto"/>
        <w:ind w:left="0" w:firstLine="0"/>
        <w:jc w:val="both"/>
        <w:rPr>
          <w:rFonts w:ascii="Centaur" w:hAnsi="Centaur"/>
          <w:b/>
          <w:bCs/>
          <w:sz w:val="28"/>
          <w:szCs w:val="28"/>
          <w:lang w:val="en-US"/>
        </w:rPr>
      </w:pPr>
    </w:p>
    <w:p w:rsidR="00497FE6" w:rsidRPr="000E5369" w:rsidRDefault="00497FE6" w:rsidP="00497FE6">
      <w:pPr>
        <w:spacing w:before="0" w:line="240" w:lineRule="auto"/>
        <w:ind w:left="567" w:hanging="567"/>
        <w:jc w:val="both"/>
        <w:rPr>
          <w:rFonts w:ascii="Centaur" w:hAnsi="Centaur"/>
          <w:b/>
          <w:bCs/>
          <w:sz w:val="28"/>
          <w:szCs w:val="28"/>
        </w:rPr>
      </w:pPr>
    </w:p>
    <w:p w:rsidR="00497FE6" w:rsidRPr="000E5369" w:rsidRDefault="00497FE6" w:rsidP="00497FE6">
      <w:pPr>
        <w:spacing w:before="0" w:line="240" w:lineRule="auto"/>
        <w:ind w:left="567" w:hanging="567"/>
        <w:jc w:val="center"/>
        <w:rPr>
          <w:rFonts w:ascii="Centaur" w:hAnsi="Centaur"/>
          <w:b/>
          <w:bCs/>
          <w:sz w:val="28"/>
          <w:szCs w:val="28"/>
          <w:lang w:val="en-US"/>
        </w:rPr>
      </w:pPr>
      <w:r w:rsidRPr="000E5369">
        <w:rPr>
          <w:rFonts w:ascii="Centaur" w:hAnsi="Centaur"/>
          <w:b/>
          <w:bCs/>
          <w:sz w:val="28"/>
          <w:szCs w:val="28"/>
        </w:rPr>
        <w:t>REFERENCES</w:t>
      </w:r>
    </w:p>
    <w:p w:rsidR="00497FE6" w:rsidRPr="000E5369" w:rsidRDefault="00497FE6" w:rsidP="00497FE6">
      <w:pPr>
        <w:spacing w:before="0" w:line="240" w:lineRule="auto"/>
        <w:ind w:left="567" w:hanging="567"/>
        <w:jc w:val="center"/>
        <w:rPr>
          <w:rFonts w:ascii="Centaur" w:hAnsi="Centaur"/>
          <w:b/>
          <w:bCs/>
          <w:sz w:val="28"/>
          <w:szCs w:val="28"/>
          <w:lang w:val="en-US"/>
        </w:rPr>
      </w:pPr>
    </w:p>
    <w:p w:rsidR="00497FE6" w:rsidRPr="000E5369" w:rsidRDefault="008E716B"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sz w:val="28"/>
          <w:szCs w:val="28"/>
        </w:rPr>
        <w:fldChar w:fldCharType="begin" w:fldLock="1"/>
      </w:r>
      <w:r w:rsidR="00497FE6" w:rsidRPr="000E5369">
        <w:rPr>
          <w:rFonts w:ascii="Centaur" w:hAnsi="Centaur"/>
          <w:sz w:val="28"/>
          <w:szCs w:val="28"/>
        </w:rPr>
        <w:instrText xml:space="preserve">ADDIN Mendeley Bibliography CSL_BIBLIOGRAPHY </w:instrText>
      </w:r>
      <w:r w:rsidRPr="000E5369">
        <w:rPr>
          <w:rFonts w:ascii="Centaur" w:hAnsi="Centaur"/>
          <w:sz w:val="28"/>
          <w:szCs w:val="28"/>
        </w:rPr>
        <w:fldChar w:fldCharType="separate"/>
      </w:r>
      <w:r w:rsidR="00497FE6" w:rsidRPr="000E5369">
        <w:rPr>
          <w:rFonts w:ascii="Centaur" w:hAnsi="Centaur"/>
          <w:noProof/>
          <w:sz w:val="28"/>
          <w:szCs w:val="28"/>
        </w:rPr>
        <w:t xml:space="preserve">Arifin, Muhammad. 2015. “The Influence of Competence, Motivation, and Organisational Culture to High School Teacher Job Satisfaction and Performance.” </w:t>
      </w:r>
      <w:r w:rsidR="00497FE6" w:rsidRPr="000E5369">
        <w:rPr>
          <w:rFonts w:ascii="Centaur" w:hAnsi="Centaur"/>
          <w:i/>
          <w:iCs/>
          <w:noProof/>
          <w:sz w:val="28"/>
          <w:szCs w:val="28"/>
        </w:rPr>
        <w:t>International Education Studies</w:t>
      </w:r>
      <w:r w:rsidR="00497FE6" w:rsidRPr="000E5369">
        <w:rPr>
          <w:rFonts w:ascii="Centaur" w:hAnsi="Centaur"/>
          <w:noProof/>
          <w:sz w:val="28"/>
          <w:szCs w:val="28"/>
        </w:rPr>
        <w:t xml:space="preserve"> 8(1):38–45. doi: 10.5539/ies.v8n1p38.</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As’ad, Moh. 2012. </w:t>
      </w:r>
      <w:r w:rsidRPr="000E5369">
        <w:rPr>
          <w:rFonts w:ascii="Centaur" w:hAnsi="Centaur"/>
          <w:i/>
          <w:iCs/>
          <w:noProof/>
          <w:sz w:val="28"/>
          <w:szCs w:val="28"/>
        </w:rPr>
        <w:t>Psikologi Industri</w:t>
      </w:r>
      <w:r w:rsidRPr="000E5369">
        <w:rPr>
          <w:rFonts w:ascii="Centaur" w:hAnsi="Centaur"/>
          <w:noProof/>
          <w:sz w:val="28"/>
          <w:szCs w:val="28"/>
        </w:rPr>
        <w:t>. ke empat. Yogyakarta: Liberty.</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Baldoni, John. 2011. </w:t>
      </w:r>
      <w:r w:rsidRPr="000E5369">
        <w:rPr>
          <w:rFonts w:ascii="Centaur" w:hAnsi="Centaur"/>
          <w:i/>
          <w:iCs/>
          <w:noProof/>
          <w:sz w:val="28"/>
          <w:szCs w:val="28"/>
        </w:rPr>
        <w:t>Motivation, Secrets of Great Leaders</w:t>
      </w:r>
      <w:r w:rsidRPr="000E5369">
        <w:rPr>
          <w:rFonts w:ascii="Centaur" w:hAnsi="Centaur"/>
          <w:noProof/>
          <w:sz w:val="28"/>
          <w:szCs w:val="28"/>
        </w:rPr>
        <w:t>. New York: McGraw-Hill.</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Barney, Jay B. 1991. “Firm Resources and Sustained Competitive Advantage.” </w:t>
      </w:r>
      <w:r w:rsidRPr="000E5369">
        <w:rPr>
          <w:rFonts w:ascii="Centaur" w:hAnsi="Centaur"/>
          <w:i/>
          <w:iCs/>
          <w:noProof/>
          <w:sz w:val="28"/>
          <w:szCs w:val="28"/>
        </w:rPr>
        <w:t>Journal of Management</w:t>
      </w:r>
      <w:r w:rsidRPr="000E5369">
        <w:rPr>
          <w:rFonts w:ascii="Centaur" w:hAnsi="Centaur"/>
          <w:noProof/>
          <w:sz w:val="28"/>
          <w:szCs w:val="28"/>
        </w:rPr>
        <w:t xml:space="preserve"> 17(1):99-120.</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Barney, Jay B. 2001. “Is The Resource Base View a Useful Perspective For Startegic Management Research? Yes.” </w:t>
      </w:r>
      <w:r w:rsidRPr="000E5369">
        <w:rPr>
          <w:rFonts w:ascii="Centaur" w:hAnsi="Centaur"/>
          <w:i/>
          <w:iCs/>
          <w:noProof/>
          <w:sz w:val="28"/>
          <w:szCs w:val="28"/>
        </w:rPr>
        <w:t>The Academy of Management Review</w:t>
      </w:r>
      <w:r w:rsidRPr="000E5369">
        <w:rPr>
          <w:rFonts w:ascii="Centaur" w:hAnsi="Centaur"/>
          <w:noProof/>
          <w:sz w:val="28"/>
          <w:szCs w:val="28"/>
        </w:rPr>
        <w:t>26(1):41–56.</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Clapham, Ronald. 1991. </w:t>
      </w:r>
      <w:r w:rsidRPr="000E5369">
        <w:rPr>
          <w:rFonts w:ascii="Centaur" w:hAnsi="Centaur"/>
          <w:i/>
          <w:iCs/>
          <w:noProof/>
          <w:sz w:val="28"/>
          <w:szCs w:val="28"/>
        </w:rPr>
        <w:t>Pengusaha Kecil Dan Menengah Di Asia Tenggara</w:t>
      </w:r>
      <w:r w:rsidRPr="000E5369">
        <w:rPr>
          <w:rFonts w:ascii="Centaur" w:hAnsi="Centaur"/>
          <w:noProof/>
          <w:sz w:val="28"/>
          <w:szCs w:val="28"/>
        </w:rPr>
        <w:t>. Jakarta: LP3ES.</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Covin, Jeffrey G., and Dennis P. Slevin. 2017. “A Conceptual Model of Entrepreneurship as Firm Behavior:” </w:t>
      </w:r>
      <w:r w:rsidRPr="000E5369">
        <w:rPr>
          <w:rFonts w:ascii="Centaur" w:hAnsi="Centaur"/>
          <w:i/>
          <w:iCs/>
          <w:noProof/>
          <w:sz w:val="28"/>
          <w:szCs w:val="28"/>
        </w:rPr>
        <w:t>Entrepreneurship Theory and Practice</w:t>
      </w:r>
      <w:r w:rsidRPr="000E5369">
        <w:rPr>
          <w:rFonts w:ascii="Centaur" w:hAnsi="Centaur"/>
          <w:noProof/>
          <w:sz w:val="28"/>
          <w:szCs w:val="28"/>
        </w:rPr>
        <w:t xml:space="preserve"> 16(1):7–26. doi: 10.1177/104225879101600102.</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Cumbie, Barry A. 2007. “The Essential Components of Disaster Recovery </w:t>
      </w:r>
      <w:r w:rsidRPr="000E5369">
        <w:rPr>
          <w:rFonts w:ascii="Centaur" w:hAnsi="Centaur"/>
          <w:noProof/>
          <w:sz w:val="28"/>
          <w:szCs w:val="28"/>
        </w:rPr>
        <w:lastRenderedPageBreak/>
        <w:t xml:space="preserve">Methods: A Delphi Study among Small Businesses.” in </w:t>
      </w:r>
      <w:r w:rsidRPr="000E5369">
        <w:rPr>
          <w:rFonts w:ascii="Centaur" w:hAnsi="Centaur"/>
          <w:i/>
          <w:iCs/>
          <w:noProof/>
          <w:sz w:val="28"/>
          <w:szCs w:val="28"/>
        </w:rPr>
        <w:t>Association for Information Systems - 13th Americas Conference on Information Systems, AMCIS 2007: Reaching New Heights</w:t>
      </w:r>
      <w:r w:rsidRPr="000E5369">
        <w:rPr>
          <w:rFonts w:ascii="Centaur" w:hAnsi="Centaur"/>
          <w:noProof/>
          <w:sz w:val="28"/>
          <w:szCs w:val="28"/>
        </w:rPr>
        <w: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Darsono, Nurdasila. 2015. </w:t>
      </w:r>
      <w:r w:rsidRPr="000E5369">
        <w:rPr>
          <w:rFonts w:ascii="Centaur" w:hAnsi="Centaur"/>
          <w:i/>
          <w:iCs/>
          <w:noProof/>
          <w:sz w:val="28"/>
          <w:szCs w:val="28"/>
        </w:rPr>
        <w:t>Orientasi Kewirausaan &amp; Kinerja Bisnis</w:t>
      </w:r>
      <w:r w:rsidRPr="000E5369">
        <w:rPr>
          <w:rFonts w:ascii="Centaur" w:hAnsi="Centaur"/>
          <w:noProof/>
          <w:sz w:val="28"/>
          <w:szCs w:val="28"/>
        </w:rPr>
        <w:t>. Banda Aceh: Syiah Kuala University Press Darussalam.</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Day, John, Paul Reynolds, and Geoff Lancaster. 2006. “Entrepreneurship and the Small to Medium-Sized Enterprise: A Divergent/Convergent Paradox in Thinking Patterns between Advisers and SME Owner-Managers.” </w:t>
      </w:r>
      <w:r w:rsidRPr="000E5369">
        <w:rPr>
          <w:rFonts w:ascii="Centaur" w:hAnsi="Centaur"/>
          <w:i/>
          <w:iCs/>
          <w:noProof/>
          <w:sz w:val="28"/>
          <w:szCs w:val="28"/>
        </w:rPr>
        <w:t>Management Decision</w:t>
      </w:r>
      <w:r w:rsidRPr="000E5369">
        <w:rPr>
          <w:rFonts w:ascii="Centaur" w:hAnsi="Centaur"/>
          <w:noProof/>
          <w:sz w:val="28"/>
          <w:szCs w:val="28"/>
        </w:rPr>
        <w:t xml:space="preserve"> 44(5):581–97. doi: 10.1108/00251740610668851.</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Dollinger, Marc J. 2008. </w:t>
      </w:r>
      <w:r w:rsidRPr="000E5369">
        <w:rPr>
          <w:rFonts w:ascii="Centaur" w:hAnsi="Centaur"/>
          <w:i/>
          <w:iCs/>
          <w:noProof/>
          <w:sz w:val="28"/>
          <w:szCs w:val="28"/>
        </w:rPr>
        <w:t>Entrepreneurship</w:t>
      </w:r>
      <w:r w:rsidRPr="000E5369">
        <w:rPr>
          <w:i/>
          <w:iCs/>
          <w:noProof/>
          <w:sz w:val="28"/>
          <w:szCs w:val="28"/>
        </w:rPr>
        <w:t> </w:t>
      </w:r>
      <w:r w:rsidRPr="000E5369">
        <w:rPr>
          <w:rFonts w:ascii="Centaur" w:hAnsi="Centaur"/>
          <w:i/>
          <w:iCs/>
          <w:noProof/>
          <w:sz w:val="28"/>
          <w:szCs w:val="28"/>
        </w:rPr>
        <w:t>: Strategies and Resources</w:t>
      </w:r>
      <w:r w:rsidRPr="000E5369">
        <w:rPr>
          <w:rFonts w:ascii="Centaur" w:hAnsi="Centaur"/>
          <w:noProof/>
          <w:sz w:val="28"/>
          <w:szCs w:val="28"/>
        </w:rPr>
        <w:t>. 4th ed. Boston: Richard D Irwin Publishing.</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Fahmi, Irham; 2014. </w:t>
      </w:r>
      <w:r w:rsidRPr="000E5369">
        <w:rPr>
          <w:rFonts w:ascii="Centaur" w:hAnsi="Centaur"/>
          <w:i/>
          <w:iCs/>
          <w:noProof/>
          <w:sz w:val="28"/>
          <w:szCs w:val="28"/>
        </w:rPr>
        <w:t>Perilaku Organisasi</w:t>
      </w:r>
      <w:r w:rsidRPr="000E5369">
        <w:rPr>
          <w:i/>
          <w:iCs/>
          <w:noProof/>
          <w:sz w:val="28"/>
          <w:szCs w:val="28"/>
        </w:rPr>
        <w:t> </w:t>
      </w:r>
      <w:r w:rsidRPr="000E5369">
        <w:rPr>
          <w:rFonts w:ascii="Centaur" w:hAnsi="Centaur"/>
          <w:i/>
          <w:iCs/>
          <w:noProof/>
          <w:sz w:val="28"/>
          <w:szCs w:val="28"/>
        </w:rPr>
        <w:t>: Teori, Aplikasi, Dan Kasus</w:t>
      </w:r>
      <w:r w:rsidRPr="000E5369">
        <w:rPr>
          <w:rFonts w:ascii="Centaur" w:hAnsi="Centaur"/>
          <w:noProof/>
          <w:sz w:val="28"/>
          <w:szCs w:val="28"/>
        </w:rPr>
        <w:t>. Bandung: Alfabeta.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Grant, Robert M. 1991. “The Resource-Based Theory of Competitive Advantage: Implications for Strategy Formulation:” </w:t>
      </w:r>
      <w:r w:rsidRPr="000E5369">
        <w:rPr>
          <w:rFonts w:ascii="Centaur" w:hAnsi="Centaur"/>
          <w:i/>
          <w:iCs/>
          <w:noProof/>
          <w:sz w:val="28"/>
          <w:szCs w:val="28"/>
        </w:rPr>
        <w:t>Http://Dx.Doi.Org/10.2307/41166664</w:t>
      </w:r>
      <w:r w:rsidRPr="000E5369">
        <w:rPr>
          <w:rFonts w:ascii="Centaur" w:hAnsi="Centaur"/>
          <w:noProof/>
          <w:sz w:val="28"/>
          <w:szCs w:val="28"/>
        </w:rPr>
        <w:t xml:space="preserve"> 33(3):114–35. doi: 10.2307/41166664.</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Grant, Robert M. 1999. </w:t>
      </w:r>
      <w:r w:rsidRPr="000E5369">
        <w:rPr>
          <w:rFonts w:ascii="Centaur" w:hAnsi="Centaur"/>
          <w:i/>
          <w:iCs/>
          <w:noProof/>
          <w:sz w:val="28"/>
          <w:szCs w:val="28"/>
        </w:rPr>
        <w:t>Analisis Strategi Kontemporer</w:t>
      </w:r>
      <w:r w:rsidRPr="000E5369">
        <w:rPr>
          <w:i/>
          <w:iCs/>
          <w:noProof/>
          <w:sz w:val="28"/>
          <w:szCs w:val="28"/>
        </w:rPr>
        <w:t> </w:t>
      </w:r>
      <w:r w:rsidRPr="000E5369">
        <w:rPr>
          <w:rFonts w:ascii="Centaur" w:hAnsi="Centaur"/>
          <w:i/>
          <w:iCs/>
          <w:noProof/>
          <w:sz w:val="28"/>
          <w:szCs w:val="28"/>
        </w:rPr>
        <w:t>: Konsep, Teknik, Aplikasi = Contemporary Strategy Analysis</w:t>
      </w:r>
      <w:r w:rsidRPr="000E5369">
        <w:rPr>
          <w:i/>
          <w:iCs/>
          <w:noProof/>
          <w:sz w:val="28"/>
          <w:szCs w:val="28"/>
        </w:rPr>
        <w:t> </w:t>
      </w:r>
      <w:r w:rsidRPr="000E5369">
        <w:rPr>
          <w:rFonts w:ascii="Centaur" w:hAnsi="Centaur"/>
          <w:i/>
          <w:iCs/>
          <w:noProof/>
          <w:sz w:val="28"/>
          <w:szCs w:val="28"/>
        </w:rPr>
        <w:t>: Concept, Techniques, Applications</w:t>
      </w:r>
      <w:r w:rsidRPr="000E5369">
        <w:rPr>
          <w:rFonts w:ascii="Centaur" w:hAnsi="Centaur"/>
          <w:noProof/>
          <w:sz w:val="28"/>
          <w:szCs w:val="28"/>
        </w:rPr>
        <w:t>. edited by T. Sihombing and Y. Sumiharti. Jakarta: Erlangga.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Grant, Robert M. 2001. </w:t>
      </w:r>
      <w:r w:rsidRPr="000E5369">
        <w:rPr>
          <w:rFonts w:ascii="Centaur" w:hAnsi="Centaur"/>
          <w:i/>
          <w:iCs/>
          <w:noProof/>
          <w:sz w:val="28"/>
          <w:szCs w:val="28"/>
        </w:rPr>
        <w:t>Contemporary Strategy Analysis: Text and Cases</w:t>
      </w:r>
      <w:r w:rsidRPr="000E5369">
        <w:rPr>
          <w:rFonts w:ascii="Centaur" w:hAnsi="Centaur"/>
          <w:noProof/>
          <w:sz w:val="28"/>
          <w:szCs w:val="28"/>
        </w:rPr>
        <w:t>. 7th Editio. John Wiley and Sons Ltd.</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Greenberg, Jerald, and Robert A. Baron. 2010. </w:t>
      </w:r>
      <w:r w:rsidRPr="000E5369">
        <w:rPr>
          <w:rFonts w:ascii="Centaur" w:hAnsi="Centaur"/>
          <w:i/>
          <w:iCs/>
          <w:noProof/>
          <w:sz w:val="28"/>
          <w:szCs w:val="28"/>
        </w:rPr>
        <w:t>Behavior in Organizations</w:t>
      </w:r>
      <w:r w:rsidRPr="000E5369">
        <w:rPr>
          <w:rFonts w:ascii="Centaur" w:hAnsi="Centaur"/>
          <w:noProof/>
          <w:sz w:val="28"/>
          <w:szCs w:val="28"/>
        </w:rPr>
        <w:t>. New Jersey: Prentice Hall.</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Greenberger, David B., and Donald L. Sexton. 1988. “An Interactive Model of New Venture Initiation.” </w:t>
      </w:r>
      <w:r w:rsidRPr="000E5369">
        <w:rPr>
          <w:rFonts w:ascii="Centaur" w:hAnsi="Centaur"/>
          <w:i/>
          <w:iCs/>
          <w:noProof/>
          <w:sz w:val="28"/>
          <w:szCs w:val="28"/>
        </w:rPr>
        <w:t>Journal of Small Business Management</w:t>
      </w:r>
      <w:r w:rsidRPr="000E5369">
        <w:rPr>
          <w:rFonts w:ascii="Centaur" w:hAnsi="Centaur"/>
          <w:noProof/>
          <w:sz w:val="28"/>
          <w:szCs w:val="28"/>
        </w:rPr>
        <w:t xml:space="preserve"> 26(3):1–7.</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Helfert, Erich A. 1996. </w:t>
      </w:r>
      <w:r w:rsidRPr="000E5369">
        <w:rPr>
          <w:rFonts w:ascii="Centaur" w:hAnsi="Centaur"/>
          <w:i/>
          <w:iCs/>
          <w:noProof/>
          <w:sz w:val="28"/>
          <w:szCs w:val="28"/>
        </w:rPr>
        <w:t>Techniques of Financial Analysis</w:t>
      </w:r>
      <w:r w:rsidRPr="000E5369">
        <w:rPr>
          <w:rFonts w:ascii="Centaur" w:hAnsi="Centaur"/>
          <w:noProof/>
          <w:sz w:val="28"/>
          <w:szCs w:val="28"/>
        </w:rPr>
        <w:t>. 5th ed. Jakarta: Erlangga.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Heller, Robert. 2011. </w:t>
      </w:r>
      <w:r w:rsidRPr="000E5369">
        <w:rPr>
          <w:rFonts w:ascii="Centaur" w:hAnsi="Centaur"/>
          <w:i/>
          <w:iCs/>
          <w:noProof/>
          <w:sz w:val="28"/>
          <w:szCs w:val="28"/>
        </w:rPr>
        <w:t>Motivating People</w:t>
      </w:r>
      <w:r w:rsidRPr="000E5369">
        <w:rPr>
          <w:rFonts w:ascii="Centaur" w:hAnsi="Centaur"/>
          <w:noProof/>
          <w:sz w:val="28"/>
          <w:szCs w:val="28"/>
        </w:rPr>
        <w:t>. London: Dorling Kindersley.</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Hisrich, Robert D., Micahel P. Peters, and Dean A. Sepherd. 2017. </w:t>
      </w:r>
      <w:r w:rsidRPr="000E5369">
        <w:rPr>
          <w:rFonts w:ascii="Centaur" w:hAnsi="Centaur"/>
          <w:i/>
          <w:iCs/>
          <w:noProof/>
          <w:sz w:val="28"/>
          <w:szCs w:val="28"/>
        </w:rPr>
        <w:t>Enterprenuership</w:t>
      </w:r>
      <w:r w:rsidRPr="000E5369">
        <w:rPr>
          <w:rFonts w:ascii="Centaur" w:hAnsi="Centaur"/>
          <w:noProof/>
          <w:sz w:val="28"/>
          <w:szCs w:val="28"/>
        </w:rPr>
        <w:t>. Vol. 10. New York: Mc Graw Hill.</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Isa, Muzakar. 2012. “Analisis Kompetensi Kewirausahaan, Orientasi </w:t>
      </w:r>
      <w:r w:rsidRPr="000E5369">
        <w:rPr>
          <w:rFonts w:ascii="Centaur" w:hAnsi="Centaur"/>
          <w:noProof/>
          <w:sz w:val="28"/>
          <w:szCs w:val="28"/>
        </w:rPr>
        <w:lastRenderedPageBreak/>
        <w:t xml:space="preserve">Kewirausahaan, Dan Kinerja Industri Mebel.” </w:t>
      </w:r>
      <w:r w:rsidRPr="000E5369">
        <w:rPr>
          <w:rFonts w:ascii="Centaur" w:hAnsi="Centaur"/>
          <w:i/>
          <w:iCs/>
          <w:noProof/>
          <w:sz w:val="28"/>
          <w:szCs w:val="28"/>
        </w:rPr>
        <w:t>Benefit: Jurnal Manajemen Dan Bisnis</w:t>
      </w:r>
      <w:r w:rsidRPr="000E5369">
        <w:rPr>
          <w:rFonts w:ascii="Centaur" w:hAnsi="Centaur"/>
          <w:noProof/>
          <w:sz w:val="28"/>
          <w:szCs w:val="28"/>
        </w:rPr>
        <w:t xml:space="preserve"> 15(1):172–85. doi: 10.23917/BENEFIT.V15I1.1327.</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Kasali, Rhenald. 2010. </w:t>
      </w:r>
      <w:r w:rsidRPr="000E5369">
        <w:rPr>
          <w:rFonts w:ascii="Centaur" w:hAnsi="Centaur"/>
          <w:i/>
          <w:iCs/>
          <w:noProof/>
          <w:sz w:val="28"/>
          <w:szCs w:val="28"/>
        </w:rPr>
        <w:t>Modul Kewirausahaan</w:t>
      </w:r>
      <w:r w:rsidRPr="000E5369">
        <w:rPr>
          <w:rFonts w:ascii="Centaur" w:hAnsi="Centaur"/>
          <w:noProof/>
          <w:sz w:val="28"/>
          <w:szCs w:val="28"/>
        </w:rPr>
        <w:t>. Bandung: Hikmah (PT Mizan Publika).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Kato, Tsuguhiko, Takashi Yorifuji, Michiyo Yamakawa, Sachiko Inoue, Keiko Saito, Hiroyuki Doi, and Ichiro Kawachi. 2015. “Association of Breast Feeding with Early Childhood Dental Caries: Japanese  Population-Based Study.” </w:t>
      </w:r>
      <w:r w:rsidRPr="000E5369">
        <w:rPr>
          <w:rFonts w:ascii="Centaur" w:hAnsi="Centaur"/>
          <w:i/>
          <w:iCs/>
          <w:noProof/>
          <w:sz w:val="28"/>
          <w:szCs w:val="28"/>
        </w:rPr>
        <w:t>BMJ Open</w:t>
      </w:r>
      <w:r w:rsidRPr="000E5369">
        <w:rPr>
          <w:rFonts w:ascii="Centaur" w:hAnsi="Centaur"/>
          <w:noProof/>
          <w:sz w:val="28"/>
          <w:szCs w:val="28"/>
        </w:rPr>
        <w:t xml:space="preserve"> 5(3):e006982. doi: 10.1136/bmjopen-2014-006982.</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Kementerian Koperasi dan Usaha Kecil dan Menengah. 2018. “Kemenkopukm.Go.Id.” Retrieved August 28, 2018 (https://www.kemenkopukm.go.id/data-umkm).</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Kreitner, Robert, and Angelo Kinicki. 2010. </w:t>
      </w:r>
      <w:r w:rsidRPr="000E5369">
        <w:rPr>
          <w:rFonts w:ascii="Centaur" w:hAnsi="Centaur"/>
          <w:i/>
          <w:iCs/>
          <w:noProof/>
          <w:sz w:val="28"/>
          <w:szCs w:val="28"/>
        </w:rPr>
        <w:t>Organizational Behavior</w:t>
      </w:r>
      <w:r w:rsidRPr="000E5369">
        <w:rPr>
          <w:rFonts w:ascii="Centaur" w:hAnsi="Centaur"/>
          <w:noProof/>
          <w:sz w:val="28"/>
          <w:szCs w:val="28"/>
        </w:rPr>
        <w:t>. New York: McGraw-Hill Companies, Inc.</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Lambing, Peggy A., and Charles R. Kuehl. 2003. </w:t>
      </w:r>
      <w:r w:rsidRPr="000E5369">
        <w:rPr>
          <w:rFonts w:ascii="Centaur" w:hAnsi="Centaur"/>
          <w:i/>
          <w:iCs/>
          <w:noProof/>
          <w:sz w:val="28"/>
          <w:szCs w:val="28"/>
        </w:rPr>
        <w:t>Enterpreunership</w:t>
      </w:r>
      <w:r w:rsidRPr="000E5369">
        <w:rPr>
          <w:rFonts w:ascii="Centaur" w:hAnsi="Centaur"/>
          <w:noProof/>
          <w:sz w:val="28"/>
          <w:szCs w:val="28"/>
        </w:rPr>
        <w:t>. New Jersey: Prentice Hall.</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Lestari, Susi. 2009. “Pengembangan Desa Wisata Dalam Rangka Pemberdayaan Masyarakat (Studi Di Desa Wisata Kembang Arum Sleman).” </w:t>
      </w:r>
      <w:r w:rsidRPr="000E5369">
        <w:rPr>
          <w:rFonts w:ascii="Centaur" w:hAnsi="Centaur"/>
          <w:i/>
          <w:iCs/>
          <w:noProof/>
          <w:sz w:val="28"/>
          <w:szCs w:val="28"/>
        </w:rPr>
        <w:t>Laporan Penelitian, Universitas Islam Negeri Sunan Kalijaga Yogyakarta</w:t>
      </w:r>
      <w:r w:rsidRPr="000E5369">
        <w:rPr>
          <w:rFonts w:ascii="Centaur" w:hAnsi="Centaur"/>
          <w:noProof/>
          <w:sz w:val="28"/>
          <w:szCs w:val="28"/>
        </w:rPr>
        <w: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Lotunani, Alamsyah, M. S. Idrus, Eka Afnan, and Margono Setiawan. 2014. “The Effect of Competence on Commitment, Performance and Satisfaction with Reward as a Moderating Variable (A Study on Designing Work Plans in Kendari City Government, Southeast Sulawesi).” </w:t>
      </w:r>
      <w:r w:rsidRPr="000E5369">
        <w:rPr>
          <w:rFonts w:ascii="Centaur" w:hAnsi="Centaur"/>
          <w:i/>
          <w:iCs/>
          <w:noProof/>
          <w:sz w:val="28"/>
          <w:szCs w:val="28"/>
        </w:rPr>
        <w:t>International Journal of Business and Management Invention</w:t>
      </w:r>
      <w:r w:rsidRPr="000E5369">
        <w:rPr>
          <w:rFonts w:ascii="Centaur" w:hAnsi="Centaur"/>
          <w:noProof/>
          <w:sz w:val="28"/>
          <w:szCs w:val="28"/>
        </w:rPr>
        <w:t xml:space="preserve"> 3(2):18–25.</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Lumpkin, G. T., and Gregory G. Dess. 1996. “Clarifying the Entrepreneurial Orientation Construct and Linking It to Performance.” </w:t>
      </w:r>
      <w:r w:rsidRPr="000E5369">
        <w:rPr>
          <w:rFonts w:ascii="Centaur" w:hAnsi="Centaur"/>
          <w:i/>
          <w:iCs/>
          <w:noProof/>
          <w:sz w:val="28"/>
          <w:szCs w:val="28"/>
        </w:rPr>
        <w:t>The Academy of Management Review</w:t>
      </w:r>
      <w:r w:rsidRPr="000E5369">
        <w:rPr>
          <w:rFonts w:ascii="Centaur" w:hAnsi="Centaur"/>
          <w:noProof/>
          <w:sz w:val="28"/>
          <w:szCs w:val="28"/>
        </w:rPr>
        <w:t xml:space="preserve"> 21(1):135. doi: 10.2307/258632.</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Mangkunegara, Anwar Prabu. 2008. </w:t>
      </w:r>
      <w:r w:rsidRPr="000E5369">
        <w:rPr>
          <w:rFonts w:ascii="Centaur" w:hAnsi="Centaur"/>
          <w:i/>
          <w:iCs/>
          <w:noProof/>
          <w:sz w:val="28"/>
          <w:szCs w:val="28"/>
        </w:rPr>
        <w:t>Manajemen Sumber Daya Manusia Perusahaan</w:t>
      </w:r>
      <w:r w:rsidRPr="000E5369">
        <w:rPr>
          <w:rFonts w:ascii="Centaur" w:hAnsi="Centaur"/>
          <w:noProof/>
          <w:sz w:val="28"/>
          <w:szCs w:val="28"/>
        </w:rPr>
        <w:t>. Bandung: PT REMAJA ROSDAKARYA.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Mathis, Robert L., and John H. Jackson. 2007. </w:t>
      </w:r>
      <w:r w:rsidRPr="000E5369">
        <w:rPr>
          <w:rFonts w:ascii="Centaur" w:hAnsi="Centaur"/>
          <w:i/>
          <w:iCs/>
          <w:noProof/>
          <w:sz w:val="28"/>
          <w:szCs w:val="28"/>
        </w:rPr>
        <w:t>Human Resource Management</w:t>
      </w:r>
      <w:r w:rsidRPr="000E5369">
        <w:rPr>
          <w:rFonts w:ascii="Centaur" w:hAnsi="Centaur"/>
          <w:noProof/>
          <w:sz w:val="28"/>
          <w:szCs w:val="28"/>
        </w:rPr>
        <w:t>. Jakarta: Salemba Empat.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Michael, Armstrong, and Angela Baron. 2010. </w:t>
      </w:r>
      <w:r w:rsidRPr="000E5369">
        <w:rPr>
          <w:rFonts w:ascii="Centaur" w:hAnsi="Centaur"/>
          <w:i/>
          <w:iCs/>
          <w:noProof/>
          <w:sz w:val="28"/>
          <w:szCs w:val="28"/>
        </w:rPr>
        <w:t>Performance Management</w:t>
      </w:r>
      <w:r w:rsidRPr="000E5369">
        <w:rPr>
          <w:rFonts w:ascii="Centaur" w:hAnsi="Centaur"/>
          <w:noProof/>
          <w:sz w:val="28"/>
          <w:szCs w:val="28"/>
        </w:rPr>
        <w:t>. London: Institute of Personnel and Development.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Munizu, Musran. 2010. “Pengaruh Faktor-Faktor Eksternal Dan Internal Terhadap Kinerja Usaha Mikro Dan Kecil (UMK) Di Sulawesi Selatan | </w:t>
      </w:r>
      <w:r w:rsidRPr="000E5369">
        <w:rPr>
          <w:rFonts w:ascii="Centaur" w:hAnsi="Centaur"/>
          <w:noProof/>
          <w:sz w:val="28"/>
          <w:szCs w:val="28"/>
        </w:rPr>
        <w:lastRenderedPageBreak/>
        <w:t xml:space="preserve">Jurnal Manajemen Dan Kewirausahaan.” </w:t>
      </w:r>
      <w:r w:rsidRPr="000E5369">
        <w:rPr>
          <w:rFonts w:ascii="Centaur" w:hAnsi="Centaur"/>
          <w:i/>
          <w:iCs/>
          <w:noProof/>
          <w:sz w:val="28"/>
          <w:szCs w:val="28"/>
        </w:rPr>
        <w:t>Jurnal Manajemen Dan Kewirausahaan</w:t>
      </w:r>
      <w:r w:rsidRPr="000E5369">
        <w:rPr>
          <w:rFonts w:ascii="Centaur" w:hAnsi="Centaur"/>
          <w:noProof/>
          <w:sz w:val="28"/>
          <w:szCs w:val="28"/>
        </w:rPr>
        <w:t xml:space="preserve"> 12(1).</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Naffziger, Douglas W., Jeffrey S. Hornsby, and Donald F. Kuratko. 1994. “A Proposed Research Model of Entrepreneurial Motivation.” </w:t>
      </w:r>
      <w:r w:rsidRPr="000E5369">
        <w:rPr>
          <w:rFonts w:ascii="Centaur" w:hAnsi="Centaur"/>
          <w:i/>
          <w:iCs/>
          <w:noProof/>
          <w:sz w:val="28"/>
          <w:szCs w:val="28"/>
        </w:rPr>
        <w:t>Entrepreneurship Theory and Practice</w:t>
      </w:r>
      <w:r w:rsidRPr="000E5369">
        <w:rPr>
          <w:rFonts w:ascii="Centaur" w:hAnsi="Centaur"/>
          <w:noProof/>
          <w:sz w:val="28"/>
          <w:szCs w:val="28"/>
        </w:rPr>
        <w:t xml:space="preserve"> 18(3):29–42. doi: 10.1177/104225879401800303.</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Ng, Hee Song, and Daisy Mui Hung Kee. 2013. “Effect of Entrepreneurial Competencies on Firm Performance under the Influence of Organizational Culture.” </w:t>
      </w:r>
      <w:r w:rsidRPr="000E5369">
        <w:rPr>
          <w:rFonts w:ascii="Centaur" w:hAnsi="Centaur"/>
          <w:i/>
          <w:iCs/>
          <w:noProof/>
          <w:sz w:val="28"/>
          <w:szCs w:val="28"/>
        </w:rPr>
        <w:t>Life Science Journal</w:t>
      </w:r>
      <w:r w:rsidRPr="000E5369">
        <w:rPr>
          <w:rFonts w:ascii="Centaur" w:hAnsi="Centaur"/>
          <w:noProof/>
          <w:sz w:val="28"/>
          <w:szCs w:val="28"/>
        </w:rPr>
        <w:t xml:space="preserve"> 10(4):2459–66.</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Penrose, Edith Tilton. 1959. </w:t>
      </w:r>
      <w:r w:rsidRPr="000E5369">
        <w:rPr>
          <w:rFonts w:ascii="Centaur" w:hAnsi="Centaur"/>
          <w:i/>
          <w:iCs/>
          <w:noProof/>
          <w:sz w:val="28"/>
          <w:szCs w:val="28"/>
        </w:rPr>
        <w:t>The Theory of the Growth of the Firm</w:t>
      </w:r>
      <w:r w:rsidRPr="000E5369">
        <w:rPr>
          <w:rFonts w:ascii="Centaur" w:hAnsi="Centaur"/>
          <w:noProof/>
          <w:sz w:val="28"/>
          <w:szCs w:val="28"/>
        </w:rPr>
        <w:t>. New York: John Wiley &amp; Sons.</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Porter, Michael E. 1990. </w:t>
      </w:r>
      <w:r w:rsidRPr="000E5369">
        <w:rPr>
          <w:rFonts w:ascii="Centaur" w:hAnsi="Centaur"/>
          <w:i/>
          <w:iCs/>
          <w:noProof/>
          <w:sz w:val="28"/>
          <w:szCs w:val="28"/>
        </w:rPr>
        <w:t>Competitive Strategy</w:t>
      </w:r>
      <w:r w:rsidRPr="000E5369">
        <w:rPr>
          <w:rFonts w:ascii="Centaur" w:hAnsi="Centaur"/>
          <w:noProof/>
          <w:sz w:val="28"/>
          <w:szCs w:val="28"/>
        </w:rPr>
        <w:t>. New York: The Free Press.</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Purwanto, Heri, and M. Trihudiyatmanto. 2018. “Pengaruh Intensi Berwirausaha, Orientasi Kewirausahaan Terhadap  Kinerja Usaha Dengan Motivasi Sebagai Variabel Intervening Pada  Sentra UMKM Carica Di Wonosobo.” </w:t>
      </w:r>
      <w:r w:rsidRPr="000E5369">
        <w:rPr>
          <w:rFonts w:ascii="Centaur" w:hAnsi="Centaur"/>
          <w:i/>
          <w:iCs/>
          <w:noProof/>
          <w:sz w:val="28"/>
          <w:szCs w:val="28"/>
        </w:rPr>
        <w:t>Journal of Economic, Management, Accounting and Technology</w:t>
      </w:r>
      <w:r w:rsidRPr="000E5369">
        <w:rPr>
          <w:rFonts w:ascii="Centaur" w:hAnsi="Centaur"/>
          <w:noProof/>
          <w:sz w:val="28"/>
          <w:szCs w:val="28"/>
        </w:rPr>
        <w:t xml:space="preserve"> 1(1):42–52. doi: 10.32500/JEMATECH.V1I1.211.</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Ramanujam, Vasudevan, and P. Varadarajan. 1989. “Research on Corporate Diversification: A Synthesis.” </w:t>
      </w:r>
      <w:r w:rsidRPr="000E5369">
        <w:rPr>
          <w:rFonts w:ascii="Centaur" w:hAnsi="Centaur"/>
          <w:i/>
          <w:iCs/>
          <w:noProof/>
          <w:sz w:val="28"/>
          <w:szCs w:val="28"/>
        </w:rPr>
        <w:t>Strategic Management Journal</w:t>
      </w:r>
      <w:r w:rsidRPr="000E5369">
        <w:rPr>
          <w:rFonts w:ascii="Centaur" w:hAnsi="Centaur"/>
          <w:noProof/>
          <w:sz w:val="28"/>
          <w:szCs w:val="28"/>
        </w:rPr>
        <w:t xml:space="preserve"> 10(6):523–51.</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Robbins, Stephen. 2003. </w:t>
      </w:r>
      <w:r w:rsidRPr="000E5369">
        <w:rPr>
          <w:rFonts w:ascii="Centaur" w:hAnsi="Centaur"/>
          <w:i/>
          <w:iCs/>
          <w:noProof/>
          <w:sz w:val="28"/>
          <w:szCs w:val="28"/>
        </w:rPr>
        <w:t>Organisational Behavior</w:t>
      </w:r>
      <w:r w:rsidRPr="000E5369">
        <w:rPr>
          <w:rFonts w:ascii="Centaur" w:hAnsi="Centaur"/>
          <w:noProof/>
          <w:sz w:val="28"/>
          <w:szCs w:val="28"/>
        </w:rPr>
        <w:t>. 9th ed. California: Prentice Hall.</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Robbins, Stephen P., and Timothy A. Judge. 2008. </w:t>
      </w:r>
      <w:r w:rsidRPr="000E5369">
        <w:rPr>
          <w:rFonts w:ascii="Centaur" w:hAnsi="Centaur"/>
          <w:i/>
          <w:iCs/>
          <w:noProof/>
          <w:sz w:val="28"/>
          <w:szCs w:val="28"/>
        </w:rPr>
        <w:t>Perilaku Organisasi (Organizational Behavior)</w:t>
      </w:r>
      <w:r w:rsidRPr="000E5369">
        <w:rPr>
          <w:rFonts w:ascii="Centaur" w:hAnsi="Centaur"/>
          <w:noProof/>
          <w:sz w:val="28"/>
          <w:szCs w:val="28"/>
        </w:rPr>
        <w:t>. Jakarta: Salemba Empat.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Ruiz Estrada, Mario Arturo, Evangelos Koutronas, and Minsoo Lee. 2020. “Stagpression: The Economic and Financial Impact of COVID-19 Pandemic.” </w:t>
      </w:r>
      <w:r w:rsidRPr="000E5369">
        <w:rPr>
          <w:rFonts w:ascii="Centaur" w:hAnsi="Centaur"/>
          <w:i/>
          <w:iCs/>
          <w:noProof/>
          <w:sz w:val="28"/>
          <w:szCs w:val="28"/>
        </w:rPr>
        <w:t>Contemporary Economics</w:t>
      </w:r>
      <w:r w:rsidRPr="000E5369">
        <w:rPr>
          <w:rFonts w:ascii="Centaur" w:hAnsi="Centaur"/>
          <w:noProof/>
          <w:sz w:val="28"/>
          <w:szCs w:val="28"/>
        </w:rPr>
        <w:t xml:space="preserve"> 15(1):19–33. doi: 10.2139/SSRN.3593144.</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Rumelt, Richard P. 1984. “Toward a Strategic Theory of the Firm.” </w:t>
      </w:r>
      <w:r w:rsidRPr="000E5369">
        <w:rPr>
          <w:rFonts w:ascii="Centaur" w:hAnsi="Centaur"/>
          <w:i/>
          <w:iCs/>
          <w:noProof/>
          <w:sz w:val="28"/>
          <w:szCs w:val="28"/>
        </w:rPr>
        <w:t>Competitive Strategic Management</w:t>
      </w:r>
      <w:r w:rsidRPr="000E5369">
        <w:rPr>
          <w:rFonts w:ascii="Centaur" w:hAnsi="Centaur"/>
          <w:noProof/>
          <w:sz w:val="28"/>
          <w:szCs w:val="28"/>
        </w:rPr>
        <w:t xml:space="preserve"> 26(3):556–570.</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Saiman;, Leonardus. 2009. </w:t>
      </w:r>
      <w:r w:rsidRPr="000E5369">
        <w:rPr>
          <w:rFonts w:ascii="Centaur" w:hAnsi="Centaur"/>
          <w:i/>
          <w:iCs/>
          <w:noProof/>
          <w:sz w:val="28"/>
          <w:szCs w:val="28"/>
        </w:rPr>
        <w:t>KEWIRAUSAHAAN</w:t>
      </w:r>
      <w:r w:rsidRPr="000E5369">
        <w:rPr>
          <w:i/>
          <w:iCs/>
          <w:noProof/>
          <w:sz w:val="28"/>
          <w:szCs w:val="28"/>
        </w:rPr>
        <w:t> </w:t>
      </w:r>
      <w:r w:rsidRPr="000E5369">
        <w:rPr>
          <w:rFonts w:ascii="Centaur" w:hAnsi="Centaur"/>
          <w:i/>
          <w:iCs/>
          <w:noProof/>
          <w:sz w:val="28"/>
          <w:szCs w:val="28"/>
        </w:rPr>
        <w:t>: Teori. Praktik, Dan Kasus-Kasus</w:t>
      </w:r>
      <w:r w:rsidRPr="000E5369">
        <w:rPr>
          <w:rFonts w:ascii="Centaur" w:hAnsi="Centaur"/>
          <w:noProof/>
          <w:sz w:val="28"/>
          <w:szCs w:val="28"/>
        </w:rPr>
        <w:t>. Jakarta: Salemba Empat.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Sansa, Nuhu A. 2020. “The Impact of the COVID-19 on the Financial Markets: Evidence from China and USA.” </w:t>
      </w:r>
      <w:r w:rsidRPr="000E5369">
        <w:rPr>
          <w:rFonts w:ascii="Centaur" w:hAnsi="Centaur"/>
          <w:i/>
          <w:iCs/>
          <w:noProof/>
          <w:sz w:val="28"/>
          <w:szCs w:val="28"/>
        </w:rPr>
        <w:t xml:space="preserve">Electronic Research Journal of Social </w:t>
      </w:r>
      <w:r w:rsidRPr="000E5369">
        <w:rPr>
          <w:rFonts w:ascii="Centaur" w:hAnsi="Centaur"/>
          <w:i/>
          <w:iCs/>
          <w:noProof/>
          <w:sz w:val="28"/>
          <w:szCs w:val="28"/>
        </w:rPr>
        <w:lastRenderedPageBreak/>
        <w:t>Sciences and Humanities</w:t>
      </w:r>
      <w:r w:rsidRPr="000E5369">
        <w:rPr>
          <w:rFonts w:ascii="Centaur" w:hAnsi="Centaur"/>
          <w:noProof/>
          <w:sz w:val="28"/>
          <w:szCs w:val="28"/>
        </w:rPr>
        <w:t xml:space="preserve"> 2(II). doi: 10.2139/SSRN.3567901.</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Sloma, Richard S. 1980. </w:t>
      </w:r>
      <w:r w:rsidRPr="000E5369">
        <w:rPr>
          <w:rFonts w:ascii="Centaur" w:hAnsi="Centaur"/>
          <w:i/>
          <w:iCs/>
          <w:noProof/>
          <w:sz w:val="28"/>
          <w:szCs w:val="28"/>
        </w:rPr>
        <w:t>How to Measure Managerial Performance</w:t>
      </w:r>
      <w:r w:rsidRPr="000E5369">
        <w:rPr>
          <w:rFonts w:ascii="Centaur" w:hAnsi="Centaur"/>
          <w:noProof/>
          <w:sz w:val="28"/>
          <w:szCs w:val="28"/>
        </w:rPr>
        <w:t>. New York: Mac Millan Publishing Co. Inc.</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Smith, Wilhelmina, and Tendai Chimucheka. 2014. “Entrepreneurship, Economic Growth and Entrepreneurship Theories.” </w:t>
      </w:r>
      <w:r w:rsidRPr="000E5369">
        <w:rPr>
          <w:rFonts w:ascii="Centaur" w:hAnsi="Centaur"/>
          <w:i/>
          <w:iCs/>
          <w:noProof/>
          <w:sz w:val="28"/>
          <w:szCs w:val="28"/>
        </w:rPr>
        <w:t>Mediterranean Journal of Social Sciences</w:t>
      </w:r>
      <w:r w:rsidRPr="000E5369">
        <w:rPr>
          <w:rFonts w:ascii="Centaur" w:hAnsi="Centaur"/>
          <w:noProof/>
          <w:sz w:val="28"/>
          <w:szCs w:val="28"/>
        </w:rPr>
        <w:t xml:space="preserve"> 5(14):160–68. doi: 10.5901/MJSS.2014.V5N14P160.</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Soegoto, Eddy Soeryanto. 2009. </w:t>
      </w:r>
      <w:r w:rsidRPr="000E5369">
        <w:rPr>
          <w:rFonts w:ascii="Centaur" w:hAnsi="Centaur"/>
          <w:i/>
          <w:iCs/>
          <w:noProof/>
          <w:sz w:val="28"/>
          <w:szCs w:val="28"/>
        </w:rPr>
        <w:t>Enterpreneurship</w:t>
      </w:r>
      <w:r w:rsidRPr="000E5369">
        <w:rPr>
          <w:rFonts w:ascii="Centaur" w:hAnsi="Centaur"/>
          <w:noProof/>
          <w:sz w:val="28"/>
          <w:szCs w:val="28"/>
        </w:rPr>
        <w:t>. Edisi Pert. Jakarta: PT. Elek Media Komputindo.</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Spencer, Lyle M., and Signe M. Spencer. 2011. </w:t>
      </w:r>
      <w:r w:rsidRPr="000E5369">
        <w:rPr>
          <w:rFonts w:ascii="Centaur" w:hAnsi="Centaur"/>
          <w:i/>
          <w:iCs/>
          <w:noProof/>
          <w:sz w:val="28"/>
          <w:szCs w:val="28"/>
        </w:rPr>
        <w:t>Competence at Work: Models for Superior Performance</w:t>
      </w:r>
      <w:r w:rsidRPr="000E5369">
        <w:rPr>
          <w:rFonts w:ascii="Centaur" w:hAnsi="Centaur"/>
          <w:noProof/>
          <w:sz w:val="28"/>
          <w:szCs w:val="28"/>
        </w:rPr>
        <w:t>. New York: John Wiley &amp; Sons, Inc.</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Stewart, Wayne H., and Philip L. Roth. 2007. “A Meta-Analysis of Achievement Motivation Differences between Entrepreneurs and Managers.” </w:t>
      </w:r>
      <w:r w:rsidRPr="000E5369">
        <w:rPr>
          <w:rFonts w:ascii="Centaur" w:hAnsi="Centaur"/>
          <w:i/>
          <w:iCs/>
          <w:noProof/>
          <w:sz w:val="28"/>
          <w:szCs w:val="28"/>
        </w:rPr>
        <w:t>Journal of Small Business Management</w:t>
      </w:r>
      <w:r w:rsidRPr="000E5369">
        <w:rPr>
          <w:rFonts w:ascii="Centaur" w:hAnsi="Centaur"/>
          <w:noProof/>
          <w:sz w:val="28"/>
          <w:szCs w:val="28"/>
        </w:rPr>
        <w:t xml:space="preserve"> 45(4):401–21. doi: 10.1111/J.1540-627X.2007.00220.X.</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Suprihhadi, Heru. 2013. “Orientasi Kewirausahaan Sebagai Mediasi Pengaruh Kepemimpinan Transformasional Dan Komitmen Organisasional Terhadap Kinerja Badan Usaha Koperasi Di Kota Surabaya.” Sekolah Tinggi Ilmu Ekonomi Indonesia.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Suryana. 2010. </w:t>
      </w:r>
      <w:r w:rsidRPr="000E5369">
        <w:rPr>
          <w:rFonts w:ascii="Centaur" w:hAnsi="Centaur"/>
          <w:i/>
          <w:iCs/>
          <w:noProof/>
          <w:sz w:val="28"/>
          <w:szCs w:val="28"/>
        </w:rPr>
        <w:t>Kewirausahaan, Pedoman Praktis, Kiat Dan Proses Menuju Sukses</w:t>
      </w:r>
      <w:r w:rsidRPr="000E5369">
        <w:rPr>
          <w:rFonts w:ascii="Centaur" w:hAnsi="Centaur"/>
          <w:noProof/>
          <w:sz w:val="28"/>
          <w:szCs w:val="28"/>
        </w:rPr>
        <w:t>. Edisi Revi. Jakarta: Salemba Empat.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Wang, Y., and R. Li-Hua. 2010. “Operational of Corporate Entrepreneurship an Its Performance Implication.” in </w:t>
      </w:r>
      <w:r w:rsidRPr="000E5369">
        <w:rPr>
          <w:rFonts w:ascii="Centaur" w:hAnsi="Centaur"/>
          <w:i/>
          <w:iCs/>
          <w:noProof/>
          <w:sz w:val="28"/>
          <w:szCs w:val="28"/>
        </w:rPr>
        <w:t>An Empirical Study in China. IAMOT</w:t>
      </w:r>
      <w:r w:rsidRPr="000E5369">
        <w:rPr>
          <w:rFonts w:ascii="Centaur" w:hAnsi="Centaur"/>
          <w:noProof/>
          <w:sz w:val="28"/>
          <w:szCs w:val="28"/>
        </w:rPr>
        <w:t>. IAMOT.</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Wibowo. 2007. </w:t>
      </w:r>
      <w:r w:rsidRPr="000E5369">
        <w:rPr>
          <w:rFonts w:ascii="Centaur" w:hAnsi="Centaur"/>
          <w:i/>
          <w:iCs/>
          <w:noProof/>
          <w:sz w:val="28"/>
          <w:szCs w:val="28"/>
        </w:rPr>
        <w:t>Manajemen Kinerja</w:t>
      </w:r>
      <w:r w:rsidRPr="000E5369">
        <w:rPr>
          <w:rFonts w:ascii="Centaur" w:hAnsi="Centaur"/>
          <w:noProof/>
          <w:sz w:val="28"/>
          <w:szCs w:val="28"/>
        </w:rPr>
        <w:t>. Edisi Keti. Jakarta: Rajagrafindo Persada.</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Wiklund, Johan. 1999. “The Sustainability of the Entrepreneurial Orientation—Performance Relationship:” </w:t>
      </w:r>
      <w:r w:rsidRPr="000E5369">
        <w:rPr>
          <w:rFonts w:ascii="Centaur" w:hAnsi="Centaur"/>
          <w:i/>
          <w:iCs/>
          <w:noProof/>
          <w:sz w:val="28"/>
          <w:szCs w:val="28"/>
        </w:rPr>
        <w:t>Entrepreneurship Theory and Practice</w:t>
      </w:r>
      <w:r w:rsidRPr="000E5369">
        <w:rPr>
          <w:rFonts w:ascii="Centaur" w:hAnsi="Centaur"/>
          <w:noProof/>
          <w:sz w:val="28"/>
          <w:szCs w:val="28"/>
        </w:rPr>
        <w:t xml:space="preserve"> 24(1):37–48. doi: 10.1177/104225879902400103.</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Zainol, Fakhrul Anwar, and Selvamalar Ayadurai. 2010. “Cultural Background and Firm Performances of Indigenous (‘Bumiputera’) Malay Family Firms in Malaysia: The Role of Entrepreneurial Orientation as a Mediating Variable.” </w:t>
      </w:r>
      <w:r w:rsidRPr="000E5369">
        <w:rPr>
          <w:rFonts w:ascii="Centaur" w:hAnsi="Centaur"/>
          <w:i/>
          <w:iCs/>
          <w:noProof/>
          <w:sz w:val="28"/>
          <w:szCs w:val="28"/>
        </w:rPr>
        <w:t>Journal of Asia Entrepreneurship and Sustainability</w:t>
      </w:r>
      <w:r w:rsidRPr="000E5369">
        <w:rPr>
          <w:rFonts w:ascii="Centaur" w:hAnsi="Centaur"/>
          <w:noProof/>
          <w:sz w:val="28"/>
          <w:szCs w:val="28"/>
        </w:rPr>
        <w:t xml:space="preserve"> VI(1):3–20.</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Zulkifli. 2020. “UKM Menuju Pemulihan Ekonomi Setelah Pandemi Covid-19.” </w:t>
      </w:r>
      <w:r w:rsidRPr="000E5369">
        <w:rPr>
          <w:rFonts w:ascii="Centaur" w:hAnsi="Centaur"/>
          <w:noProof/>
          <w:sz w:val="28"/>
          <w:szCs w:val="28"/>
        </w:rPr>
        <w:lastRenderedPageBreak/>
        <w:t xml:space="preserve">P. 280 in </w:t>
      </w:r>
      <w:r w:rsidRPr="000E5369">
        <w:rPr>
          <w:rFonts w:ascii="Centaur" w:hAnsi="Centaur"/>
          <w:i/>
          <w:iCs/>
          <w:noProof/>
          <w:sz w:val="28"/>
          <w:szCs w:val="28"/>
        </w:rPr>
        <w:t>Manajemen Bisnis di Era Pandemi COVID-19 &amp; New Normal</w:t>
      </w:r>
      <w:r w:rsidRPr="000E5369">
        <w:rPr>
          <w:rFonts w:ascii="Centaur" w:hAnsi="Centaur"/>
          <w:noProof/>
          <w:sz w:val="28"/>
          <w:szCs w:val="28"/>
        </w:rPr>
        <w:t>, edited by Nurhidayati and A. K. Anam. Semarang: Unissula Press.</w:t>
      </w:r>
    </w:p>
    <w:p w:rsidR="00497FE6" w:rsidRPr="000E5369" w:rsidRDefault="00497FE6" w:rsidP="00890049">
      <w:pPr>
        <w:widowControl w:val="0"/>
        <w:autoSpaceDE w:val="0"/>
        <w:autoSpaceDN w:val="0"/>
        <w:adjustRightInd w:val="0"/>
        <w:spacing w:before="0" w:after="60" w:line="240" w:lineRule="auto"/>
        <w:ind w:left="720" w:hanging="720"/>
        <w:jc w:val="both"/>
        <w:rPr>
          <w:rFonts w:ascii="Centaur" w:hAnsi="Centaur"/>
          <w:noProof/>
          <w:sz w:val="28"/>
          <w:szCs w:val="28"/>
        </w:rPr>
      </w:pPr>
      <w:r w:rsidRPr="000E5369">
        <w:rPr>
          <w:rFonts w:ascii="Centaur" w:hAnsi="Centaur"/>
          <w:noProof/>
          <w:sz w:val="28"/>
          <w:szCs w:val="28"/>
        </w:rPr>
        <w:t xml:space="preserve">Zwell, Michael. 2000. </w:t>
      </w:r>
      <w:r w:rsidRPr="000E5369">
        <w:rPr>
          <w:rFonts w:ascii="Centaur" w:hAnsi="Centaur"/>
          <w:i/>
          <w:iCs/>
          <w:noProof/>
          <w:sz w:val="28"/>
          <w:szCs w:val="28"/>
        </w:rPr>
        <w:t>Creating a Culture of Competence</w:t>
      </w:r>
      <w:r w:rsidRPr="000E5369">
        <w:rPr>
          <w:rFonts w:ascii="Centaur" w:hAnsi="Centaur"/>
          <w:noProof/>
          <w:sz w:val="28"/>
          <w:szCs w:val="28"/>
        </w:rPr>
        <w:t>. New York: John Wiley &amp; Sons, Inc.</w:t>
      </w:r>
      <w:r w:rsidRPr="000E5369">
        <w:rPr>
          <w:rFonts w:ascii="Centaur" w:hAnsi="Centaur"/>
          <w:noProof/>
          <w:color w:val="FFFFFF" w:themeColor="background1"/>
          <w:sz w:val="28"/>
          <w:szCs w:val="28"/>
        </w:rPr>
        <w:t>”</w:t>
      </w:r>
    </w:p>
    <w:p w:rsidR="00497FE6" w:rsidRPr="000E5369" w:rsidRDefault="008E716B" w:rsidP="00890049">
      <w:pPr>
        <w:spacing w:before="0" w:after="60" w:line="240" w:lineRule="auto"/>
        <w:ind w:left="720" w:hanging="720"/>
        <w:jc w:val="both"/>
        <w:rPr>
          <w:rFonts w:ascii="Centaur" w:hAnsi="Centaur"/>
          <w:sz w:val="28"/>
          <w:szCs w:val="28"/>
        </w:rPr>
      </w:pPr>
      <w:r w:rsidRPr="000E5369">
        <w:rPr>
          <w:rFonts w:ascii="Centaur" w:hAnsi="Centaur"/>
          <w:sz w:val="28"/>
          <w:szCs w:val="28"/>
        </w:rPr>
        <w:fldChar w:fldCharType="end"/>
      </w:r>
    </w:p>
    <w:p w:rsidR="000E69E3" w:rsidRPr="00497FE6" w:rsidRDefault="000E69E3" w:rsidP="00FE467F">
      <w:pPr>
        <w:spacing w:before="0" w:line="240" w:lineRule="auto"/>
        <w:rPr>
          <w:rFonts w:ascii="Centaur" w:hAnsi="Centaur"/>
          <w:szCs w:val="28"/>
        </w:rPr>
      </w:pPr>
    </w:p>
    <w:sectPr w:rsidR="000E69E3" w:rsidRPr="00497FE6" w:rsidSect="000E5369">
      <w:headerReference w:type="even" r:id="rId18"/>
      <w:headerReference w:type="default" r:id="rId19"/>
      <w:footerReference w:type="even" r:id="rId20"/>
      <w:footerReference w:type="default" r:id="rId21"/>
      <w:headerReference w:type="first" r:id="rId22"/>
      <w:footerReference w:type="first" r:id="rId23"/>
      <w:pgSz w:w="11906" w:h="16838" w:code="9"/>
      <w:pgMar w:top="1699" w:right="1699" w:bottom="1699" w:left="1843" w:header="706" w:footer="706" w:gutter="0"/>
      <w:pgNumType w:start="28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1D3" w:rsidRDefault="003E61D3">
      <w:pPr>
        <w:spacing w:before="0" w:line="240" w:lineRule="auto"/>
      </w:pPr>
      <w:r>
        <w:separator/>
      </w:r>
    </w:p>
  </w:endnote>
  <w:endnote w:type="continuationSeparator" w:id="1">
    <w:p w:rsidR="003E61D3" w:rsidRDefault="003E61D3">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aur">
    <w:panose1 w:val="020305040502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9" w:rsidRDefault="007F35E9" w:rsidP="006D542E">
    <w:pPr>
      <w:pStyle w:val="Footer"/>
      <w:ind w:left="1181" w:hanging="360"/>
      <w:jc w:val="right"/>
      <w:rPr>
        <w:lang w:val="en-US"/>
      </w:rPr>
    </w:pPr>
  </w:p>
  <w:p w:rsidR="007F35E9" w:rsidRDefault="007F35E9" w:rsidP="006D542E">
    <w:pPr>
      <w:pStyle w:val="Footer"/>
      <w:ind w:left="1181" w:hanging="360"/>
      <w:jc w:val="right"/>
      <w:rPr>
        <w:lang w:val="en-US"/>
      </w:rPr>
    </w:pPr>
  </w:p>
  <w:p w:rsidR="007F35E9" w:rsidRDefault="007F35E9" w:rsidP="006D542E">
    <w:pPr>
      <w:pStyle w:val="Footer"/>
      <w:ind w:left="1181" w:hanging="360"/>
      <w:jc w:val="right"/>
      <w:rPr>
        <w:lang w:val="en-US"/>
      </w:rPr>
    </w:pPr>
  </w:p>
  <w:p w:rsidR="007F35E9" w:rsidRDefault="007F35E9" w:rsidP="006D542E">
    <w:pPr>
      <w:pStyle w:val="Footer"/>
      <w:ind w:left="1181" w:hanging="360"/>
      <w:jc w:val="right"/>
      <w:rPr>
        <w:lang w:val="en-US"/>
      </w:rPr>
    </w:pPr>
  </w:p>
  <w:p w:rsidR="007F35E9" w:rsidRDefault="007F35E9" w:rsidP="006D542E">
    <w:pPr>
      <w:pStyle w:val="Footer"/>
      <w:ind w:left="1181" w:hanging="360"/>
      <w:jc w:val="right"/>
      <w:rPr>
        <w:lang w:val="en-US"/>
      </w:rPr>
    </w:pPr>
  </w:p>
  <w:p w:rsidR="007F35E9" w:rsidRPr="00F93332" w:rsidRDefault="008E716B" w:rsidP="006D542E">
    <w:pPr>
      <w:pStyle w:val="Footer"/>
      <w:ind w:left="1181" w:hanging="360"/>
      <w:jc w:val="right"/>
      <w:rPr>
        <w:rFonts w:ascii="Centaur" w:hAnsi="Centaur"/>
      </w:rPr>
    </w:pPr>
    <w:hyperlink r:id="rId1" w:history="1">
      <w:r w:rsidR="007F35E9" w:rsidRPr="00F93332">
        <w:rPr>
          <w:rStyle w:val="Hyperlink"/>
          <w:rFonts w:ascii="Centaur" w:hAnsi="Centaur"/>
        </w:rPr>
        <w:t>https://ejournal.radenintan.ac.id/index.php/ikonomika</w:t>
      </w:r>
    </w:hyperlink>
  </w:p>
  <w:p w:rsidR="007F35E9" w:rsidRPr="009D661F" w:rsidRDefault="008E716B" w:rsidP="00687320">
    <w:pPr>
      <w:pStyle w:val="Footer"/>
      <w:tabs>
        <w:tab w:val="clear" w:pos="4153"/>
        <w:tab w:val="clear" w:pos="8306"/>
        <w:tab w:val="left" w:pos="1683"/>
        <w:tab w:val="center" w:pos="4253"/>
        <w:tab w:val="right" w:pos="8370"/>
        <w:tab w:val="right" w:pos="8460"/>
      </w:tabs>
      <w:ind w:left="360" w:right="-2" w:hanging="360"/>
      <w:rPr>
        <w:rFonts w:ascii="Centaur" w:hAnsi="Centaur"/>
        <w:lang w:val="en-US"/>
      </w:rPr>
    </w:pPr>
    <w:r w:rsidRPr="00F93332">
      <w:rPr>
        <w:rFonts w:ascii="Centaur" w:hAnsi="Centaur"/>
      </w:rPr>
      <w:fldChar w:fldCharType="begin"/>
    </w:r>
    <w:r w:rsidR="007F35E9" w:rsidRPr="00F93332">
      <w:rPr>
        <w:rFonts w:ascii="Centaur" w:hAnsi="Centaur"/>
      </w:rPr>
      <w:instrText xml:space="preserve"> PAGE   \* MERGEFORMAT </w:instrText>
    </w:r>
    <w:r w:rsidRPr="00F93332">
      <w:rPr>
        <w:rFonts w:ascii="Centaur" w:hAnsi="Centaur"/>
      </w:rPr>
      <w:fldChar w:fldCharType="separate"/>
    </w:r>
    <w:r w:rsidR="00890049">
      <w:rPr>
        <w:rFonts w:ascii="Centaur" w:hAnsi="Centaur"/>
        <w:noProof/>
      </w:rPr>
      <w:t>308</w:t>
    </w:r>
    <w:r w:rsidRPr="00F93332">
      <w:rPr>
        <w:rFonts w:ascii="Centaur" w:hAnsi="Centaur"/>
      </w:rPr>
      <w:fldChar w:fldCharType="end"/>
    </w:r>
    <w:r w:rsidR="007F35E9" w:rsidRPr="00F93332">
      <w:rPr>
        <w:rFonts w:ascii="Centaur" w:hAnsi="Centaur"/>
      </w:rPr>
      <w:tab/>
    </w:r>
    <w:r w:rsidR="007F35E9">
      <w:rPr>
        <w:rFonts w:ascii="Centaur" w:hAnsi="Centaur"/>
      </w:rPr>
      <w:tab/>
    </w:r>
    <w:r w:rsidR="007F35E9">
      <w:rPr>
        <w:rFonts w:ascii="Centaur" w:hAnsi="Centaur"/>
      </w:rPr>
      <w:tab/>
    </w:r>
    <w:r w:rsidR="007F35E9">
      <w:rPr>
        <w:rFonts w:ascii="Centaur" w:hAnsi="Centaur"/>
        <w:lang w:val="en-US"/>
      </w:rPr>
      <w:tab/>
      <w:t xml:space="preserve"> </w:t>
    </w:r>
    <w:r w:rsidR="007F35E9" w:rsidRPr="00F93332">
      <w:rPr>
        <w:rFonts w:ascii="Centaur" w:hAnsi="Centaur"/>
      </w:rPr>
      <w:t>E-mail: ikonomika_submission@radenintan.ac.id</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9" w:rsidRDefault="007F35E9" w:rsidP="006D542E">
    <w:pPr>
      <w:pStyle w:val="Footer"/>
      <w:ind w:left="0" w:firstLine="0"/>
      <w:jc w:val="both"/>
      <w:rPr>
        <w:lang w:val="en-US"/>
      </w:rPr>
    </w:pPr>
  </w:p>
  <w:p w:rsidR="007F35E9" w:rsidRDefault="007F35E9" w:rsidP="006D542E">
    <w:pPr>
      <w:pStyle w:val="Footer"/>
      <w:ind w:left="0" w:firstLine="0"/>
      <w:jc w:val="both"/>
      <w:rPr>
        <w:lang w:val="en-US"/>
      </w:rPr>
    </w:pPr>
  </w:p>
  <w:p w:rsidR="007F35E9" w:rsidRDefault="007F35E9" w:rsidP="006D542E">
    <w:pPr>
      <w:pStyle w:val="Footer"/>
      <w:ind w:left="0" w:firstLine="0"/>
      <w:jc w:val="both"/>
      <w:rPr>
        <w:lang w:val="en-US"/>
      </w:rPr>
    </w:pPr>
  </w:p>
  <w:p w:rsidR="007F35E9" w:rsidRDefault="007F35E9" w:rsidP="006D542E">
    <w:pPr>
      <w:pStyle w:val="Footer"/>
      <w:ind w:left="0" w:firstLine="0"/>
      <w:jc w:val="both"/>
      <w:rPr>
        <w:lang w:val="en-US"/>
      </w:rPr>
    </w:pPr>
  </w:p>
  <w:p w:rsidR="007F35E9" w:rsidRDefault="007F35E9" w:rsidP="006D542E">
    <w:pPr>
      <w:pStyle w:val="Footer"/>
      <w:ind w:left="0" w:firstLine="0"/>
      <w:jc w:val="both"/>
      <w:rPr>
        <w:lang w:val="en-US"/>
      </w:rPr>
    </w:pPr>
  </w:p>
  <w:p w:rsidR="007F35E9" w:rsidRPr="00313ABB" w:rsidRDefault="008E716B" w:rsidP="006D542E">
    <w:pPr>
      <w:pStyle w:val="Footer"/>
      <w:ind w:left="0" w:firstLine="0"/>
      <w:jc w:val="both"/>
      <w:rPr>
        <w:rFonts w:ascii="Centaur" w:hAnsi="Centaur"/>
      </w:rPr>
    </w:pPr>
    <w:hyperlink r:id="rId1" w:history="1">
      <w:r w:rsidR="007F35E9" w:rsidRPr="00313ABB">
        <w:rPr>
          <w:rStyle w:val="Hyperlink"/>
          <w:rFonts w:ascii="Centaur" w:hAnsi="Centaur"/>
        </w:rPr>
        <w:t>https://ejournal.radenintan.ac.id/index.php/ikonomika</w:t>
      </w:r>
    </w:hyperlink>
  </w:p>
  <w:p w:rsidR="007F35E9" w:rsidRPr="006D542E" w:rsidRDefault="007F35E9" w:rsidP="006D542E">
    <w:pPr>
      <w:pStyle w:val="Footer"/>
      <w:ind w:left="0" w:firstLine="0"/>
      <w:jc w:val="center"/>
      <w:rPr>
        <w:rFonts w:ascii="Centaur" w:hAnsi="Centaur"/>
        <w:sz w:val="24"/>
        <w:szCs w:val="24"/>
        <w:lang w:val="en-US"/>
      </w:rPr>
    </w:pPr>
    <w:r w:rsidRPr="00313ABB">
      <w:rPr>
        <w:rFonts w:ascii="Centaur" w:hAnsi="Centaur"/>
      </w:rPr>
      <w:t xml:space="preserve">E-mail: </w:t>
    </w:r>
    <w:hyperlink r:id="rId2" w:history="1">
      <w:r w:rsidRPr="00313ABB">
        <w:rPr>
          <w:rStyle w:val="Hyperlink"/>
          <w:rFonts w:ascii="Centaur" w:hAnsi="Centaur"/>
        </w:rPr>
        <w:t>ikonomika_submission@radenintan.ac.id</w:t>
      </w:r>
    </w:hyperlink>
    <w:r w:rsidRPr="00313ABB">
      <w:rPr>
        <w:rFonts w:ascii="Centaur" w:hAnsi="Centaur"/>
      </w:rPr>
      <w:tab/>
    </w:r>
    <w:r w:rsidRPr="00313ABB">
      <w:rPr>
        <w:rFonts w:ascii="Centaur" w:hAnsi="Centaur"/>
      </w:rPr>
      <w:tab/>
    </w:r>
    <w:r w:rsidR="008E716B" w:rsidRPr="009F0762">
      <w:rPr>
        <w:rFonts w:ascii="Centaur" w:hAnsi="Centaur"/>
        <w:sz w:val="24"/>
        <w:szCs w:val="24"/>
      </w:rPr>
      <w:fldChar w:fldCharType="begin"/>
    </w:r>
    <w:r w:rsidRPr="009F0762">
      <w:rPr>
        <w:rFonts w:ascii="Centaur" w:hAnsi="Centaur"/>
        <w:sz w:val="24"/>
        <w:szCs w:val="24"/>
      </w:rPr>
      <w:instrText xml:space="preserve"> PAGE   \* MERGEFORMAT </w:instrText>
    </w:r>
    <w:r w:rsidR="008E716B" w:rsidRPr="009F0762">
      <w:rPr>
        <w:rFonts w:ascii="Centaur" w:hAnsi="Centaur"/>
        <w:sz w:val="24"/>
        <w:szCs w:val="24"/>
      </w:rPr>
      <w:fldChar w:fldCharType="separate"/>
    </w:r>
    <w:r w:rsidR="00890049">
      <w:rPr>
        <w:rFonts w:ascii="Centaur" w:hAnsi="Centaur"/>
        <w:noProof/>
        <w:sz w:val="24"/>
        <w:szCs w:val="24"/>
      </w:rPr>
      <w:t>307</w:t>
    </w:r>
    <w:r w:rsidR="008E716B" w:rsidRPr="009F0762">
      <w:rPr>
        <w:rFonts w:ascii="Centaur" w:hAnsi="Centaur"/>
        <w:sz w:val="24"/>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9" w:rsidRDefault="007F35E9" w:rsidP="00DE2BF7">
    <w:pPr>
      <w:pStyle w:val="Footer"/>
      <w:tabs>
        <w:tab w:val="left" w:pos="-4253"/>
        <w:tab w:val="right" w:pos="8505"/>
      </w:tabs>
      <w:ind w:left="0" w:firstLine="0"/>
      <w:jc w:val="both"/>
      <w:rPr>
        <w:rFonts w:ascii="Centaur" w:hAnsi="Centaur"/>
        <w:lang w:val="en-US"/>
      </w:rPr>
    </w:pPr>
  </w:p>
  <w:p w:rsidR="007F35E9" w:rsidRDefault="007F35E9" w:rsidP="00DE2BF7">
    <w:pPr>
      <w:pStyle w:val="Footer"/>
      <w:tabs>
        <w:tab w:val="left" w:pos="-4253"/>
        <w:tab w:val="right" w:pos="8505"/>
      </w:tabs>
      <w:ind w:left="0" w:firstLine="0"/>
      <w:jc w:val="both"/>
      <w:rPr>
        <w:rFonts w:ascii="Centaur" w:hAnsi="Centaur"/>
        <w:lang w:val="en-US"/>
      </w:rPr>
    </w:pPr>
  </w:p>
  <w:p w:rsidR="007F35E9" w:rsidRPr="00B85C69" w:rsidRDefault="007F35E9" w:rsidP="00A34D19">
    <w:pPr>
      <w:pStyle w:val="Footer"/>
      <w:tabs>
        <w:tab w:val="left" w:pos="-4253"/>
        <w:tab w:val="right" w:pos="8505"/>
      </w:tabs>
      <w:ind w:left="0" w:firstLine="0"/>
      <w:jc w:val="both"/>
      <w:rPr>
        <w:rFonts w:ascii="Centaur" w:hAnsi="Centaur"/>
        <w:lang w:val="en-US"/>
      </w:rPr>
    </w:pPr>
    <w:r w:rsidRPr="00DE2BF7">
      <w:rPr>
        <w:rFonts w:ascii="Centaur" w:hAnsi="Centaur"/>
      </w:rPr>
      <w:t>Received :</w:t>
    </w:r>
    <w:r>
      <w:rPr>
        <w:rFonts w:ascii="Centaur" w:hAnsi="Centaur"/>
        <w:lang w:val="en-US"/>
      </w:rPr>
      <w:t xml:space="preserve"> January</w:t>
    </w:r>
    <w:r w:rsidR="006444CF">
      <w:rPr>
        <w:rFonts w:ascii="Centaur" w:hAnsi="Centaur"/>
      </w:rPr>
      <w:t xml:space="preserve"> </w:t>
    </w:r>
    <w:r w:rsidR="006444CF">
      <w:rPr>
        <w:rFonts w:ascii="Centaur" w:hAnsi="Centaur"/>
        <w:lang w:val="en-US"/>
      </w:rPr>
      <w:t>20</w:t>
    </w:r>
    <w:r w:rsidRPr="00DE2BF7">
      <w:rPr>
        <w:rFonts w:ascii="Centaur" w:hAnsi="Centaur"/>
      </w:rPr>
      <w:t>,</w:t>
    </w:r>
    <w:r>
      <w:rPr>
        <w:rFonts w:ascii="Centaur" w:hAnsi="Centaur"/>
      </w:rPr>
      <w:t xml:space="preserve"> 202</w:t>
    </w:r>
    <w:r>
      <w:rPr>
        <w:rFonts w:ascii="Centaur" w:hAnsi="Centaur"/>
        <w:lang w:val="en-US"/>
      </w:rPr>
      <w:t>3</w:t>
    </w:r>
    <w:r w:rsidRPr="00DE2BF7">
      <w:rPr>
        <w:rFonts w:ascii="Centaur" w:hAnsi="Centaur"/>
      </w:rPr>
      <w:t xml:space="preserve"> – Revised: </w:t>
    </w:r>
    <w:r w:rsidR="006444CF">
      <w:rPr>
        <w:rFonts w:ascii="Centaur" w:hAnsi="Centaur"/>
        <w:lang w:val="en-US"/>
      </w:rPr>
      <w:t>February 26</w:t>
    </w:r>
    <w:r w:rsidRPr="00DE2BF7">
      <w:rPr>
        <w:rFonts w:ascii="Centaur" w:hAnsi="Centaur"/>
      </w:rPr>
      <w:t>,</w:t>
    </w:r>
    <w:r>
      <w:rPr>
        <w:rFonts w:ascii="Centaur" w:hAnsi="Centaur"/>
      </w:rPr>
      <w:t xml:space="preserve"> 202</w:t>
    </w:r>
    <w:r>
      <w:rPr>
        <w:rFonts w:ascii="Centaur" w:hAnsi="Centaur"/>
        <w:lang w:val="en-US"/>
      </w:rPr>
      <w:t>3</w:t>
    </w:r>
    <w:r w:rsidRPr="00DE2BF7">
      <w:rPr>
        <w:rFonts w:ascii="Centaur" w:hAnsi="Centaur"/>
      </w:rPr>
      <w:t xml:space="preserve">, Accepted: </w:t>
    </w:r>
    <w:r>
      <w:rPr>
        <w:rFonts w:ascii="Centaur" w:hAnsi="Centaur"/>
        <w:lang w:val="en-US"/>
      </w:rPr>
      <w:t>March 2</w:t>
    </w:r>
    <w:r>
      <w:rPr>
        <w:rFonts w:ascii="Centaur" w:hAnsi="Centaur"/>
      </w:rPr>
      <w:t>, 202</w:t>
    </w:r>
    <w:r>
      <w:rPr>
        <w:rFonts w:ascii="Centaur" w:hAnsi="Centaur"/>
        <w:lang w:val="en-US"/>
      </w:rPr>
      <w:t>3</w:t>
    </w:r>
  </w:p>
  <w:p w:rsidR="007F35E9" w:rsidRPr="00D864EA" w:rsidRDefault="007F35E9" w:rsidP="00A34D19">
    <w:pPr>
      <w:spacing w:before="0" w:line="240" w:lineRule="auto"/>
      <w:ind w:left="0" w:firstLine="0"/>
      <w:rPr>
        <w:rFonts w:ascii="Centaur" w:hAnsi="Centaur" w:cs="Tahoma"/>
        <w:color w:val="000000" w:themeColor="text1"/>
        <w:shd w:val="clear" w:color="auto" w:fill="FFFFFF"/>
        <w:lang w:val="en-US"/>
      </w:rPr>
    </w:pPr>
    <w:r w:rsidRPr="00DE2BF7">
      <w:rPr>
        <w:rFonts w:ascii="Centaur" w:hAnsi="Centaur"/>
      </w:rPr>
      <w:t xml:space="preserve">Occupuation : </w:t>
    </w:r>
    <w:r w:rsidR="00A34D19" w:rsidRPr="00A34D19">
      <w:rPr>
        <w:rFonts w:ascii="Centaur" w:eastAsia="Calibri" w:hAnsi="Centaur"/>
        <w:color w:val="000000" w:themeColor="text1"/>
        <w:sz w:val="24"/>
        <w:szCs w:val="24"/>
        <w:lang w:val="en-US"/>
      </w:rPr>
      <w:t>Universitas Dr. Soetomo Surabaya</w:t>
    </w:r>
    <w:r w:rsidR="00A34D19" w:rsidRPr="00A34D19">
      <w:rPr>
        <w:rFonts w:ascii="Centaur" w:eastAsia="Calibri" w:hAnsi="Centaur"/>
        <w:color w:val="000000" w:themeColor="text1"/>
        <w:sz w:val="24"/>
        <w:szCs w:val="24"/>
        <w:vertAlign w:val="superscript"/>
        <w:lang w:val="en-US"/>
      </w:rPr>
      <w:t>1,3,4,5</w:t>
    </w:r>
    <w:r w:rsidR="00A34D19" w:rsidRPr="00A34D19">
      <w:rPr>
        <w:rFonts w:ascii="Centaur" w:eastAsia="Calibri" w:hAnsi="Centaur"/>
        <w:color w:val="000000" w:themeColor="text1"/>
        <w:sz w:val="24"/>
        <w:szCs w:val="24"/>
        <w:lang w:val="en-US"/>
      </w:rPr>
      <w:t>, Sekolah Tinggi Ilmu Ekonomi Indonesia (STIESIA) Surabaya</w:t>
    </w:r>
    <w:r w:rsidR="00A34D19" w:rsidRPr="00A34D19">
      <w:rPr>
        <w:rFonts w:ascii="Centaur" w:eastAsia="Calibri" w:hAnsi="Centaur"/>
        <w:color w:val="000000" w:themeColor="text1"/>
        <w:sz w:val="24"/>
        <w:szCs w:val="24"/>
        <w:vertAlign w:val="superscript"/>
        <w:lang w:val="en-US"/>
      </w:rPr>
      <w:t>2</w:t>
    </w:r>
  </w:p>
  <w:p w:rsidR="007F35E9" w:rsidRPr="00A34D19" w:rsidRDefault="007F35E9" w:rsidP="00A34D19">
    <w:pPr>
      <w:spacing w:before="0" w:line="240" w:lineRule="auto"/>
      <w:ind w:left="0" w:firstLine="0"/>
      <w:rPr>
        <w:rFonts w:ascii="Centaur" w:eastAsia="Calibri" w:hAnsi="Centaur"/>
        <w:b/>
        <w:i/>
        <w:color w:val="000000" w:themeColor="text1"/>
        <w:sz w:val="24"/>
        <w:szCs w:val="24"/>
        <w:lang w:val="en-US"/>
      </w:rPr>
    </w:pPr>
    <w:r w:rsidRPr="00DE2BF7">
      <w:rPr>
        <w:rFonts w:ascii="Centaur" w:hAnsi="Centaur"/>
      </w:rPr>
      <w:t xml:space="preserve">E-mail : </w:t>
    </w:r>
    <w:hyperlink r:id="rId1" w:history="1">
      <w:r w:rsidR="00A34D19" w:rsidRPr="00A34D19">
        <w:rPr>
          <w:rStyle w:val="Hyperlink"/>
          <w:rFonts w:ascii="Centaur" w:eastAsia="Calibri" w:hAnsi="Centaur"/>
          <w:b/>
          <w:i/>
          <w:lang w:val="en-US"/>
        </w:rPr>
        <w:t>sarwani@unitomo.ac.id</w:t>
      </w:r>
      <w:r w:rsidR="00A34D19" w:rsidRPr="00A34D19">
        <w:rPr>
          <w:rStyle w:val="Hyperlink"/>
          <w:rFonts w:ascii="Centaur" w:eastAsia="Calibri" w:hAnsi="Centaur"/>
          <w:b/>
          <w:i/>
          <w:vertAlign w:val="superscript"/>
          <w:lang w:val="en-US"/>
        </w:rPr>
        <w:t>1</w:t>
      </w:r>
    </w:hyperlink>
    <w:r w:rsidR="00A34D19" w:rsidRPr="00A34D19">
      <w:rPr>
        <w:rFonts w:ascii="Centaur" w:eastAsia="Calibri" w:hAnsi="Centaur"/>
        <w:b/>
        <w:i/>
        <w:color w:val="000000" w:themeColor="text1"/>
        <w:lang w:val="en-US"/>
      </w:rPr>
      <w:t xml:space="preserve">, </w:t>
    </w:r>
    <w:hyperlink r:id="rId2" w:history="1">
      <w:r w:rsidR="00A34D19" w:rsidRPr="00A34D19">
        <w:rPr>
          <w:rStyle w:val="Hyperlink"/>
          <w:rFonts w:ascii="Centaur" w:eastAsia="Calibri" w:hAnsi="Centaur"/>
          <w:b/>
          <w:i/>
          <w:lang w:val="en-US"/>
        </w:rPr>
        <w:t>herusuprihhadi@stiesia.ac.id</w:t>
      </w:r>
      <w:r w:rsidR="00A34D19" w:rsidRPr="00A34D19">
        <w:rPr>
          <w:rStyle w:val="Hyperlink"/>
          <w:rFonts w:ascii="Centaur" w:eastAsia="Calibri" w:hAnsi="Centaur"/>
          <w:b/>
          <w:i/>
          <w:vertAlign w:val="superscript"/>
          <w:lang w:val="en-US"/>
        </w:rPr>
        <w:t>2</w:t>
      </w:r>
    </w:hyperlink>
    <w:r w:rsidR="00A34D19" w:rsidRPr="00A34D19">
      <w:rPr>
        <w:rFonts w:ascii="Centaur" w:eastAsia="Calibri" w:hAnsi="Centaur"/>
        <w:b/>
        <w:i/>
        <w:color w:val="000000" w:themeColor="text1"/>
        <w:lang w:val="en-US"/>
      </w:rPr>
      <w:t xml:space="preserve">, </w:t>
    </w:r>
    <w:hyperlink r:id="rId3" w:history="1">
      <w:r w:rsidR="00A34D19" w:rsidRPr="00A34D19">
        <w:rPr>
          <w:rStyle w:val="Hyperlink"/>
          <w:rFonts w:ascii="Centaur" w:eastAsia="Calibri" w:hAnsi="Centaur"/>
          <w:b/>
          <w:i/>
          <w:lang w:val="en-US"/>
        </w:rPr>
        <w:t>dianferriswara@unitomo.ac.id</w:t>
      </w:r>
      <w:r w:rsidR="00A34D19" w:rsidRPr="00A34D19">
        <w:rPr>
          <w:rStyle w:val="Hyperlink"/>
          <w:rFonts w:ascii="Centaur" w:eastAsia="Calibri" w:hAnsi="Centaur"/>
          <w:b/>
          <w:i/>
          <w:vertAlign w:val="superscript"/>
          <w:lang w:val="en-US"/>
        </w:rPr>
        <w:t>3</w:t>
      </w:r>
    </w:hyperlink>
    <w:r w:rsidR="00A34D19" w:rsidRPr="00A34D19">
      <w:rPr>
        <w:rFonts w:ascii="Centaur" w:eastAsia="Calibri" w:hAnsi="Centaur"/>
        <w:b/>
        <w:i/>
        <w:color w:val="000000" w:themeColor="text1"/>
        <w:lang w:val="en-US"/>
      </w:rPr>
      <w:t xml:space="preserve">, </w:t>
    </w:r>
    <w:hyperlink r:id="rId4" w:history="1">
      <w:r w:rsidR="00A34D19" w:rsidRPr="00A34D19">
        <w:rPr>
          <w:rStyle w:val="Hyperlink"/>
          <w:rFonts w:ascii="Centaur" w:eastAsia="Calibri" w:hAnsi="Centaur"/>
          <w:b/>
          <w:i/>
          <w:lang w:val="en-US"/>
        </w:rPr>
        <w:t>damajanti.sri@unitomo.ac.id</w:t>
      </w:r>
      <w:r w:rsidR="00A34D19" w:rsidRPr="00A34D19">
        <w:rPr>
          <w:rStyle w:val="Hyperlink"/>
          <w:rFonts w:ascii="Centaur" w:eastAsia="Calibri" w:hAnsi="Centaur"/>
          <w:b/>
          <w:i/>
          <w:vertAlign w:val="superscript"/>
          <w:lang w:val="en-US"/>
        </w:rPr>
        <w:t>4</w:t>
      </w:r>
    </w:hyperlink>
    <w:r w:rsidR="00A34D19" w:rsidRPr="00A34D19">
      <w:rPr>
        <w:rFonts w:ascii="Centaur" w:eastAsia="Calibri" w:hAnsi="Centaur"/>
        <w:b/>
        <w:i/>
        <w:color w:val="000000" w:themeColor="text1"/>
        <w:lang w:val="en-US"/>
      </w:rPr>
      <w:t xml:space="preserve">, </w:t>
    </w:r>
    <w:hyperlink r:id="rId5" w:history="1">
      <w:r w:rsidR="00A34D19" w:rsidRPr="00A34D19">
        <w:rPr>
          <w:rStyle w:val="Hyperlink"/>
          <w:rFonts w:ascii="Centaur" w:eastAsia="Calibri" w:hAnsi="Centaur"/>
          <w:b/>
          <w:i/>
          <w:lang w:val="en-US"/>
        </w:rPr>
        <w:t>liling.listyawati@unitomo.ac.id</w:t>
      </w:r>
      <w:r w:rsidR="00A34D19" w:rsidRPr="00A34D19">
        <w:rPr>
          <w:rStyle w:val="Hyperlink"/>
          <w:rFonts w:ascii="Centaur" w:eastAsia="Calibri" w:hAnsi="Centaur"/>
          <w:b/>
          <w:i/>
          <w:vertAlign w:val="superscript"/>
          <w:lang w:val="en-US"/>
        </w:rPr>
        <w:t>5</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1D3" w:rsidRDefault="003E61D3">
      <w:pPr>
        <w:spacing w:before="0" w:line="240" w:lineRule="auto"/>
      </w:pPr>
      <w:r>
        <w:separator/>
      </w:r>
    </w:p>
  </w:footnote>
  <w:footnote w:type="continuationSeparator" w:id="1">
    <w:p w:rsidR="003E61D3" w:rsidRDefault="003E61D3">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D19" w:rsidRPr="00A34D19" w:rsidRDefault="00A34D19" w:rsidP="00A34D19">
    <w:pPr>
      <w:spacing w:before="0" w:line="240" w:lineRule="auto"/>
      <w:ind w:left="0" w:firstLine="0"/>
      <w:rPr>
        <w:rFonts w:ascii="Centaur" w:eastAsia="Calibri" w:hAnsi="Centaur"/>
        <w:b/>
        <w:lang w:val="sv-SE"/>
      </w:rPr>
    </w:pPr>
    <w:r w:rsidRPr="00A34D19">
      <w:rPr>
        <w:rFonts w:ascii="Centaur" w:eastAsia="Calibri" w:hAnsi="Centaur"/>
        <w:b/>
        <w:lang w:val="sv-SE"/>
      </w:rPr>
      <w:t>Covid-19 Pandemic Moderating The Influence o</w:t>
    </w:r>
    <w:r w:rsidR="006444CF">
      <w:rPr>
        <w:rFonts w:ascii="Centaur" w:eastAsia="Calibri" w:hAnsi="Centaur"/>
        <w:b/>
        <w:lang w:val="sv-SE"/>
      </w:rPr>
      <w:t>f Competence, Work Motivation, a</w:t>
    </w:r>
    <w:r w:rsidRPr="00A34D19">
      <w:rPr>
        <w:rFonts w:ascii="Centaur" w:eastAsia="Calibri" w:hAnsi="Centaur"/>
        <w:b/>
        <w:lang w:val="sv-SE"/>
      </w:rPr>
      <w:t>nd Entrepreneurship Orientation on Business Performance and Sharia Perspective</w:t>
    </w:r>
  </w:p>
  <w:p w:rsidR="007F35E9" w:rsidRPr="00A34D19" w:rsidRDefault="00A34D19" w:rsidP="00A34D19">
    <w:pPr>
      <w:spacing w:before="0" w:line="240" w:lineRule="auto"/>
      <w:ind w:left="0" w:firstLine="0"/>
      <w:rPr>
        <w:rFonts w:ascii="Centaur" w:hAnsi="Centaur" w:cs="Tahoma"/>
        <w:color w:val="000000" w:themeColor="text1"/>
        <w:shd w:val="clear" w:color="auto" w:fill="FFFFFF"/>
        <w:lang w:val="en-US"/>
      </w:rPr>
    </w:pPr>
    <w:r w:rsidRPr="00A34D19">
      <w:rPr>
        <w:rFonts w:ascii="Centaur" w:hAnsi="Centaur" w:cs="Tahoma"/>
        <w:color w:val="000000" w:themeColor="text1"/>
        <w:shd w:val="clear" w:color="auto" w:fill="FFFFFF"/>
      </w:rPr>
      <w:t>Sarwani Sarwani</w:t>
    </w:r>
    <w:r w:rsidRPr="00A34D19">
      <w:rPr>
        <w:rFonts w:ascii="Centaur" w:hAnsi="Centaur" w:cs="Tahoma"/>
        <w:color w:val="000000" w:themeColor="text1"/>
        <w:shd w:val="clear" w:color="auto" w:fill="FFFFFF"/>
        <w:vertAlign w:val="superscript"/>
        <w:lang w:val="en-US"/>
      </w:rPr>
      <w:t>1</w:t>
    </w:r>
    <w:r w:rsidRPr="00A34D19">
      <w:rPr>
        <w:rFonts w:ascii="Centaur" w:hAnsi="Centaur" w:cs="Tahoma"/>
        <w:color w:val="000000" w:themeColor="text1"/>
        <w:shd w:val="clear" w:color="auto" w:fill="FFFFFF"/>
      </w:rPr>
      <w:t>, Heru Suprihhadi</w:t>
    </w:r>
    <w:r w:rsidRPr="00A34D19">
      <w:rPr>
        <w:rFonts w:ascii="Centaur" w:hAnsi="Centaur" w:cs="Tahoma"/>
        <w:color w:val="000000" w:themeColor="text1"/>
        <w:shd w:val="clear" w:color="auto" w:fill="FFFFFF"/>
        <w:vertAlign w:val="superscript"/>
        <w:lang w:val="en-US"/>
      </w:rPr>
      <w:t>2</w:t>
    </w:r>
    <w:r w:rsidRPr="00A34D19">
      <w:rPr>
        <w:rFonts w:ascii="Centaur" w:hAnsi="Centaur" w:cs="Tahoma"/>
        <w:color w:val="000000" w:themeColor="text1"/>
        <w:shd w:val="clear" w:color="auto" w:fill="FFFFFF"/>
      </w:rPr>
      <w:t>, Dian Feriswara</w:t>
    </w:r>
    <w:r w:rsidRPr="00A34D19">
      <w:rPr>
        <w:rFonts w:ascii="Centaur" w:hAnsi="Centaur" w:cs="Tahoma"/>
        <w:color w:val="000000" w:themeColor="text1"/>
        <w:shd w:val="clear" w:color="auto" w:fill="FFFFFF"/>
        <w:vertAlign w:val="superscript"/>
        <w:lang w:val="en-US"/>
      </w:rPr>
      <w:t>3</w:t>
    </w:r>
    <w:r w:rsidRPr="00A34D19">
      <w:rPr>
        <w:rFonts w:ascii="Centaur" w:hAnsi="Centaur" w:cs="Tahoma"/>
        <w:color w:val="000000" w:themeColor="text1"/>
        <w:shd w:val="clear" w:color="auto" w:fill="FFFFFF"/>
      </w:rPr>
      <w:t>, Damajanti Sri Lestari</w:t>
    </w:r>
    <w:r w:rsidRPr="00A34D19">
      <w:rPr>
        <w:rFonts w:ascii="Centaur" w:hAnsi="Centaur" w:cs="Tahoma"/>
        <w:color w:val="000000" w:themeColor="text1"/>
        <w:shd w:val="clear" w:color="auto" w:fill="FFFFFF"/>
        <w:vertAlign w:val="superscript"/>
        <w:lang w:val="en-US"/>
      </w:rPr>
      <w:t>4</w:t>
    </w:r>
    <w:r w:rsidRPr="00A34D19">
      <w:rPr>
        <w:rFonts w:ascii="Centaur" w:hAnsi="Centaur" w:cs="Tahoma"/>
        <w:color w:val="000000" w:themeColor="text1"/>
        <w:shd w:val="clear" w:color="auto" w:fill="FFFFFF"/>
      </w:rPr>
      <w:t>, Liling Listyawati</w:t>
    </w:r>
    <w:r w:rsidRPr="00A34D19">
      <w:rPr>
        <w:rFonts w:ascii="Centaur" w:hAnsi="Centaur" w:cs="Tahoma"/>
        <w:color w:val="000000" w:themeColor="text1"/>
        <w:shd w:val="clear" w:color="auto" w:fill="FFFFFF"/>
        <w:vertAlign w:val="superscript"/>
        <w:lang w:val="en-US"/>
      </w:rPr>
      <w:t>5</w:t>
    </w:r>
  </w:p>
  <w:p w:rsidR="007F35E9" w:rsidRDefault="007F35E9" w:rsidP="00DE2BF7">
    <w:pPr>
      <w:spacing w:before="0" w:line="240" w:lineRule="auto"/>
      <w:ind w:left="0" w:firstLine="0"/>
      <w:jc w:val="both"/>
      <w:rPr>
        <w:rFonts w:ascii="Centaur" w:hAnsi="Centaur"/>
        <w:bCs/>
        <w:iCs/>
        <w:lang w:val="en-US"/>
      </w:rPr>
    </w:pPr>
  </w:p>
  <w:p w:rsidR="007F35E9" w:rsidRDefault="007F35E9" w:rsidP="00DE2BF7">
    <w:pPr>
      <w:spacing w:before="0" w:line="240" w:lineRule="auto"/>
      <w:ind w:left="0" w:firstLine="0"/>
      <w:jc w:val="both"/>
      <w:rPr>
        <w:rFonts w:ascii="Centaur" w:hAnsi="Centaur"/>
        <w:bCs/>
        <w:iCs/>
        <w:lang w:val="en-US"/>
      </w:rPr>
    </w:pPr>
  </w:p>
  <w:p w:rsidR="007F35E9" w:rsidRDefault="007F35E9" w:rsidP="00DE2BF7">
    <w:pPr>
      <w:spacing w:before="0" w:line="240" w:lineRule="auto"/>
      <w:ind w:left="0" w:firstLine="0"/>
      <w:jc w:val="both"/>
      <w:rPr>
        <w:rFonts w:ascii="Centaur" w:hAnsi="Centaur"/>
        <w:bCs/>
        <w:iCs/>
        <w:lang w:val="en-US"/>
      </w:rPr>
    </w:pPr>
  </w:p>
  <w:p w:rsidR="007F35E9" w:rsidRDefault="007F35E9" w:rsidP="00DE2BF7">
    <w:pPr>
      <w:spacing w:before="0" w:line="240" w:lineRule="auto"/>
      <w:ind w:left="0" w:firstLine="0"/>
      <w:jc w:val="both"/>
      <w:rPr>
        <w:rFonts w:ascii="Centaur" w:hAnsi="Centaur"/>
        <w:bCs/>
        <w:iCs/>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9" w:rsidRPr="00DE2BF7" w:rsidRDefault="007F35E9" w:rsidP="00DE2BF7">
    <w:pPr>
      <w:pStyle w:val="Header"/>
      <w:spacing w:before="0" w:line="240" w:lineRule="auto"/>
      <w:ind w:left="1181" w:hanging="360"/>
      <w:jc w:val="right"/>
      <w:rPr>
        <w:rFonts w:ascii="Centaur" w:hAnsi="Centaur"/>
        <w:b/>
        <w:sz w:val="22"/>
        <w:szCs w:val="22"/>
      </w:rPr>
    </w:pPr>
    <w:r w:rsidRPr="00DE2BF7">
      <w:rPr>
        <w:rFonts w:ascii="Centaur" w:hAnsi="Centaur" w:cs="Aharoni"/>
        <w:b/>
        <w:sz w:val="22"/>
        <w:szCs w:val="22"/>
        <w:lang w:bidi="he-IL"/>
      </w:rPr>
      <w:t>IKONOMIKA</w:t>
    </w:r>
  </w:p>
  <w:p w:rsidR="007F35E9" w:rsidRPr="00DE2BF7" w:rsidRDefault="007F35E9" w:rsidP="00DE2BF7">
    <w:pPr>
      <w:spacing w:before="0" w:line="240" w:lineRule="auto"/>
      <w:ind w:left="1181" w:hanging="360"/>
      <w:jc w:val="right"/>
      <w:rPr>
        <w:rFonts w:ascii="Centaur" w:hAnsi="Centaur"/>
      </w:rPr>
    </w:pPr>
    <w:r w:rsidRPr="00DE2BF7">
      <w:rPr>
        <w:rFonts w:ascii="Centaur" w:hAnsi="Centaur"/>
      </w:rPr>
      <w:t xml:space="preserve">Volume 7, No </w:t>
    </w:r>
    <w:r w:rsidRPr="00DE2BF7">
      <w:rPr>
        <w:rFonts w:ascii="Centaur" w:hAnsi="Centaur"/>
        <w:lang w:val="en-US"/>
      </w:rPr>
      <w:t>2</w:t>
    </w:r>
    <w:r w:rsidRPr="00DE2BF7">
      <w:rPr>
        <w:rFonts w:ascii="Centaur" w:hAnsi="Centaur"/>
      </w:rPr>
      <w:t xml:space="preserve">  (2022)</w:t>
    </w:r>
  </w:p>
  <w:p w:rsidR="007F35E9" w:rsidRDefault="007F35E9" w:rsidP="00DE2BF7">
    <w:pPr>
      <w:pStyle w:val="Header"/>
      <w:spacing w:before="0" w:line="240" w:lineRule="auto"/>
      <w:ind w:left="1181" w:hanging="360"/>
      <w:rPr>
        <w:sz w:val="22"/>
        <w:szCs w:val="22"/>
        <w:lang w:val="en-US"/>
      </w:rPr>
    </w:pPr>
  </w:p>
  <w:p w:rsidR="007F35E9" w:rsidRPr="00DE2BF7" w:rsidRDefault="007F35E9" w:rsidP="00DE2BF7">
    <w:pPr>
      <w:pStyle w:val="Header"/>
      <w:spacing w:before="0" w:line="240" w:lineRule="auto"/>
      <w:ind w:left="1181" w:hanging="360"/>
      <w:rPr>
        <w:sz w:val="22"/>
        <w:szCs w:val="22"/>
        <w:lang w:val="en-US"/>
      </w:rPr>
    </w:pPr>
  </w:p>
  <w:p w:rsidR="007F35E9" w:rsidRPr="00DE2BF7" w:rsidRDefault="007F35E9" w:rsidP="00DE2BF7">
    <w:pPr>
      <w:pStyle w:val="Header"/>
      <w:spacing w:before="0" w:line="240" w:lineRule="auto"/>
      <w:ind w:left="1181" w:hanging="360"/>
      <w:rPr>
        <w:sz w:val="22"/>
        <w:szCs w:val="22"/>
        <w:lang w:val="en-US"/>
      </w:rPr>
    </w:pPr>
  </w:p>
  <w:p w:rsidR="007F35E9" w:rsidRPr="00DE2BF7" w:rsidRDefault="007F35E9" w:rsidP="00DE2BF7">
    <w:pPr>
      <w:pStyle w:val="Header"/>
      <w:spacing w:before="0" w:line="240" w:lineRule="auto"/>
      <w:ind w:left="1181" w:hanging="360"/>
      <w:rPr>
        <w:sz w:val="22"/>
        <w:szCs w:val="22"/>
        <w:lang w:val="en-US"/>
      </w:rPr>
    </w:pPr>
  </w:p>
  <w:p w:rsidR="007F35E9" w:rsidRPr="00DE2BF7" w:rsidRDefault="007F35E9" w:rsidP="00DE2BF7">
    <w:pPr>
      <w:pStyle w:val="Header"/>
      <w:spacing w:before="0" w:line="240" w:lineRule="auto"/>
      <w:ind w:left="1181" w:hanging="360"/>
      <w:rPr>
        <w:sz w:val="22"/>
        <w:szCs w:val="22"/>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5E9" w:rsidRPr="00DE2BF7" w:rsidRDefault="007F35E9" w:rsidP="00DE2BF7">
    <w:pPr>
      <w:pStyle w:val="Header"/>
      <w:spacing w:before="0" w:line="240" w:lineRule="auto"/>
      <w:ind w:left="0" w:firstLine="0"/>
      <w:jc w:val="both"/>
      <w:rPr>
        <w:rFonts w:ascii="Centaur" w:hAnsi="Centaur"/>
        <w:sz w:val="22"/>
        <w:szCs w:val="22"/>
      </w:rPr>
    </w:pPr>
    <w:r w:rsidRPr="00DE2BF7">
      <w:rPr>
        <w:rFonts w:ascii="Centaur" w:hAnsi="Centaur" w:cs="Aharoni"/>
        <w:b/>
        <w:bCs/>
        <w:sz w:val="22"/>
        <w:szCs w:val="22"/>
        <w:lang w:bidi="he-IL"/>
      </w:rPr>
      <w:t>IKONOMIKA</w:t>
    </w:r>
    <w:r w:rsidRPr="00DE2BF7">
      <w:rPr>
        <w:rFonts w:ascii="Centaur" w:hAnsi="Centaur" w:cs="Aharoni"/>
        <w:sz w:val="22"/>
        <w:szCs w:val="22"/>
        <w:lang w:bidi="he-IL"/>
      </w:rPr>
      <w:t xml:space="preserve">: </w:t>
    </w:r>
    <w:r w:rsidRPr="00DE2BF7">
      <w:rPr>
        <w:rFonts w:ascii="Centaur" w:hAnsi="Centaur"/>
        <w:sz w:val="22"/>
        <w:szCs w:val="22"/>
      </w:rPr>
      <w:t>Jurnal Ekonomi dan Bisnis Islam</w:t>
    </w:r>
  </w:p>
  <w:p w:rsidR="007F35E9" w:rsidRPr="00DE2BF7" w:rsidRDefault="007F35E9" w:rsidP="00DE2BF7">
    <w:pPr>
      <w:pStyle w:val="Header"/>
      <w:spacing w:before="0" w:line="240" w:lineRule="auto"/>
      <w:ind w:left="0" w:firstLine="0"/>
      <w:rPr>
        <w:rFonts w:ascii="Centaur" w:hAnsi="Centaur"/>
        <w:sz w:val="22"/>
        <w:szCs w:val="22"/>
      </w:rPr>
    </w:pPr>
    <w:r w:rsidRPr="00DE2BF7">
      <w:rPr>
        <w:rFonts w:ascii="Centaur" w:hAnsi="Centaur"/>
        <w:sz w:val="22"/>
        <w:szCs w:val="22"/>
      </w:rPr>
      <w:t>Volume 7</w:t>
    </w:r>
    <w:r>
      <w:rPr>
        <w:rFonts w:ascii="Centaur" w:hAnsi="Centaur"/>
        <w:sz w:val="22"/>
        <w:szCs w:val="22"/>
      </w:rPr>
      <w:t>, No</w:t>
    </w:r>
    <w:r>
      <w:rPr>
        <w:rFonts w:ascii="Centaur" w:hAnsi="Centaur"/>
        <w:sz w:val="22"/>
        <w:szCs w:val="22"/>
        <w:lang w:val="en-US"/>
      </w:rPr>
      <w:t xml:space="preserve"> 2 </w:t>
    </w:r>
    <w:r w:rsidRPr="00DE2BF7">
      <w:rPr>
        <w:rFonts w:ascii="Centaur" w:hAnsi="Centaur"/>
        <w:sz w:val="22"/>
        <w:szCs w:val="22"/>
      </w:rPr>
      <w:t xml:space="preserve"> (2022)</w:t>
    </w:r>
  </w:p>
  <w:p w:rsidR="007F35E9" w:rsidRPr="00DE2BF7" w:rsidRDefault="007F35E9" w:rsidP="00DE2BF7">
    <w:pPr>
      <w:spacing w:before="0" w:line="240" w:lineRule="auto"/>
      <w:ind w:left="0" w:firstLine="0"/>
      <w:rPr>
        <w:rFonts w:ascii="Centaur" w:hAnsi="Centaur"/>
      </w:rPr>
    </w:pPr>
    <w:r w:rsidRPr="00DE2BF7">
      <w:rPr>
        <w:rFonts w:ascii="Centaur" w:hAnsi="Centaur"/>
      </w:rPr>
      <w:t>ISSN : 2527-3434 (PRINT) - ISSN: 2527-5143 (ONLINE)</w:t>
    </w:r>
  </w:p>
  <w:p w:rsidR="007F35E9" w:rsidRPr="006D542E" w:rsidRDefault="007F35E9" w:rsidP="00DE2BF7">
    <w:pPr>
      <w:spacing w:before="0" w:line="240" w:lineRule="auto"/>
      <w:ind w:left="0" w:firstLine="0"/>
      <w:rPr>
        <w:rFonts w:ascii="Centaur" w:hAnsi="Centaur"/>
        <w:lang w:val="en-US"/>
      </w:rPr>
    </w:pPr>
    <w:r w:rsidRPr="00DE2BF7">
      <w:rPr>
        <w:rFonts w:ascii="Centaur" w:hAnsi="Centaur"/>
      </w:rPr>
      <w:t>Page  :</w:t>
    </w:r>
    <w:r>
      <w:rPr>
        <w:rFonts w:ascii="Centaur" w:hAnsi="Centaur"/>
        <w:lang w:val="en-US"/>
      </w:rPr>
      <w:t xml:space="preserve"> 2</w:t>
    </w:r>
    <w:r w:rsidR="000E5369">
      <w:rPr>
        <w:rFonts w:ascii="Centaur" w:hAnsi="Centaur"/>
        <w:lang w:val="en-US"/>
      </w:rPr>
      <w:t xml:space="preserve">83 </w:t>
    </w:r>
    <w:r w:rsidRPr="00DE2BF7">
      <w:rPr>
        <w:rFonts w:ascii="Centaur" w:hAnsi="Centaur"/>
      </w:rPr>
      <w:t xml:space="preserve"> -</w:t>
    </w:r>
    <w:r>
      <w:rPr>
        <w:rFonts w:ascii="Centaur" w:hAnsi="Centaur"/>
      </w:rPr>
      <w:t xml:space="preserve"> </w:t>
    </w:r>
    <w:r w:rsidR="000E5369">
      <w:rPr>
        <w:rFonts w:ascii="Centaur" w:hAnsi="Centaur"/>
        <w:lang w:val="en-US"/>
      </w:rPr>
      <w:t>308</w:t>
    </w:r>
  </w:p>
  <w:p w:rsidR="007F35E9" w:rsidRPr="00DE2BF7" w:rsidRDefault="007F35E9" w:rsidP="00DE2BF7">
    <w:pPr>
      <w:pStyle w:val="Header"/>
      <w:spacing w:before="0" w:line="240" w:lineRule="auto"/>
      <w:ind w:left="1181" w:hanging="360"/>
      <w:rPr>
        <w:sz w:val="22"/>
        <w:szCs w:val="22"/>
        <w:lang w:val="en-US"/>
      </w:rPr>
    </w:pPr>
  </w:p>
  <w:p w:rsidR="007F35E9" w:rsidRPr="00DE2BF7" w:rsidRDefault="007F35E9" w:rsidP="00DE2BF7">
    <w:pPr>
      <w:pStyle w:val="Header"/>
      <w:spacing w:before="0" w:line="240" w:lineRule="auto"/>
      <w:ind w:left="1181" w:hanging="360"/>
      <w:rPr>
        <w:sz w:val="22"/>
        <w:szCs w:val="22"/>
        <w:lang w:val="en-US"/>
      </w:rPr>
    </w:pPr>
  </w:p>
  <w:p w:rsidR="007F35E9" w:rsidRPr="00DE2BF7" w:rsidRDefault="007F35E9" w:rsidP="00DE2BF7">
    <w:pPr>
      <w:pStyle w:val="Header"/>
      <w:spacing w:before="0" w:line="240" w:lineRule="auto"/>
      <w:ind w:left="1181" w:hanging="360"/>
      <w:rPr>
        <w:sz w:val="22"/>
        <w:szCs w:val="22"/>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06311"/>
    <w:multiLevelType w:val="hybridMultilevel"/>
    <w:tmpl w:val="8C7AA8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7946F1"/>
    <w:multiLevelType w:val="hybridMultilevel"/>
    <w:tmpl w:val="FFFFFFFF"/>
    <w:lvl w:ilvl="0" w:tplc="00143E16">
      <w:start w:val="1"/>
      <w:numFmt w:val="decimal"/>
      <w:lvlText w:val="%1."/>
      <w:lvlJc w:val="left"/>
      <w:pPr>
        <w:ind w:left="720" w:hanging="360"/>
      </w:pPr>
      <w:rPr>
        <w:rFonts w:cs="Times New Roman" w:hint="default"/>
        <w:b/>
        <w:bCs/>
        <w:i w:val="0"/>
        <w:i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
    <w:nsid w:val="10BA61CE"/>
    <w:multiLevelType w:val="hybridMultilevel"/>
    <w:tmpl w:val="F4FE3A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C8C6401"/>
    <w:multiLevelType w:val="multilevel"/>
    <w:tmpl w:val="FFFFFFFF"/>
    <w:lvl w:ilvl="0">
      <w:start w:val="1"/>
      <w:numFmt w:val="upperLetter"/>
      <w:lvlText w:val="%1."/>
      <w:lvlJc w:val="left"/>
      <w:pPr>
        <w:ind w:left="-2475" w:hanging="360"/>
      </w:pPr>
      <w:rPr>
        <w:rFonts w:cs="Times New Roman" w:hint="default"/>
        <w:b/>
        <w:bCs/>
        <w:color w:val="000000" w:themeColor="text1"/>
      </w:rPr>
    </w:lvl>
    <w:lvl w:ilvl="1">
      <w:start w:val="1"/>
      <w:numFmt w:val="decimal"/>
      <w:lvlText w:val="%2."/>
      <w:lvlJc w:val="left"/>
      <w:pPr>
        <w:ind w:left="360" w:hanging="360"/>
      </w:pPr>
      <w:rPr>
        <w:rFonts w:ascii="Times New Roman" w:eastAsia="Times New Roman" w:hAnsi="Times New Roman" w:cs="Times New Roman"/>
        <w:b/>
        <w:bCs/>
        <w:i w:val="0"/>
        <w:iCs w:val="0"/>
      </w:rPr>
    </w:lvl>
    <w:lvl w:ilvl="2">
      <w:start w:val="1"/>
      <w:numFmt w:val="lowerRoman"/>
      <w:lvlText w:val="%3."/>
      <w:lvlJc w:val="right"/>
      <w:pPr>
        <w:ind w:left="-1035" w:hanging="180"/>
      </w:pPr>
      <w:rPr>
        <w:rFonts w:cs="Times New Roman"/>
      </w:rPr>
    </w:lvl>
    <w:lvl w:ilvl="3">
      <w:start w:val="1"/>
      <w:numFmt w:val="lowerLetter"/>
      <w:lvlText w:val="%4."/>
      <w:lvlJc w:val="left"/>
      <w:pPr>
        <w:ind w:left="-315" w:hanging="360"/>
      </w:pPr>
      <w:rPr>
        <w:rFonts w:cs="Times New Roman" w:hint="default"/>
      </w:rPr>
    </w:lvl>
    <w:lvl w:ilvl="4">
      <w:start w:val="1"/>
      <w:numFmt w:val="lowerLetter"/>
      <w:lvlText w:val="%5."/>
      <w:lvlJc w:val="left"/>
      <w:pPr>
        <w:ind w:left="405" w:hanging="360"/>
      </w:pPr>
      <w:rPr>
        <w:rFonts w:cs="Times New Roman"/>
      </w:rPr>
    </w:lvl>
    <w:lvl w:ilvl="5">
      <w:start w:val="1"/>
      <w:numFmt w:val="lowerRoman"/>
      <w:lvlText w:val="%6."/>
      <w:lvlJc w:val="right"/>
      <w:pPr>
        <w:ind w:left="1125" w:hanging="180"/>
      </w:pPr>
      <w:rPr>
        <w:rFonts w:cs="Times New Roman"/>
      </w:rPr>
    </w:lvl>
    <w:lvl w:ilvl="6">
      <w:start w:val="1"/>
      <w:numFmt w:val="decimal"/>
      <w:lvlText w:val="%7."/>
      <w:lvlJc w:val="left"/>
      <w:pPr>
        <w:ind w:left="1845" w:hanging="360"/>
      </w:pPr>
      <w:rPr>
        <w:rFonts w:cs="Times New Roman"/>
      </w:rPr>
    </w:lvl>
    <w:lvl w:ilvl="7">
      <w:start w:val="1"/>
      <w:numFmt w:val="lowerLetter"/>
      <w:lvlText w:val="%8."/>
      <w:lvlJc w:val="left"/>
      <w:pPr>
        <w:ind w:left="2565" w:hanging="360"/>
      </w:pPr>
      <w:rPr>
        <w:rFonts w:cs="Times New Roman"/>
      </w:rPr>
    </w:lvl>
    <w:lvl w:ilvl="8">
      <w:start w:val="1"/>
      <w:numFmt w:val="lowerRoman"/>
      <w:lvlText w:val="%9."/>
      <w:lvlJc w:val="right"/>
      <w:pPr>
        <w:ind w:left="3285" w:hanging="180"/>
      </w:pPr>
      <w:rPr>
        <w:rFonts w:cs="Times New Roman"/>
      </w:rPr>
    </w:lvl>
  </w:abstractNum>
  <w:abstractNum w:abstractNumId="4">
    <w:nsid w:val="1F9D751A"/>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
    <w:nsid w:val="20D25788"/>
    <w:multiLevelType w:val="multilevel"/>
    <w:tmpl w:val="AF9209CE"/>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6">
    <w:nsid w:val="25AB49F3"/>
    <w:multiLevelType w:val="hybridMultilevel"/>
    <w:tmpl w:val="7B027728"/>
    <w:lvl w:ilvl="0" w:tplc="69D8F0AC">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31570C05"/>
    <w:multiLevelType w:val="hybridMultilevel"/>
    <w:tmpl w:val="69847EB2"/>
    <w:lvl w:ilvl="0" w:tplc="19DEC11C">
      <w:start w:val="1"/>
      <w:numFmt w:val="lowerLetter"/>
      <w:lvlText w:val="%1."/>
      <w:lvlJc w:val="left"/>
      <w:pPr>
        <w:tabs>
          <w:tab w:val="num" w:pos="6031"/>
        </w:tabs>
        <w:ind w:left="6031" w:hanging="360"/>
      </w:pPr>
      <w:rPr>
        <w:rFonts w:ascii="Book Antiqua" w:eastAsiaTheme="minorHAnsi" w:hAnsi="Book Antiqua" w:cstheme="minorBidi"/>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31943FBD"/>
    <w:multiLevelType w:val="hybridMultilevel"/>
    <w:tmpl w:val="9C82A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8A0874"/>
    <w:multiLevelType w:val="hybridMultilevel"/>
    <w:tmpl w:val="BA66867A"/>
    <w:lvl w:ilvl="0" w:tplc="04090019">
      <w:start w:val="1"/>
      <w:numFmt w:val="lowerLetter"/>
      <w:lvlText w:val="%1."/>
      <w:lvlJc w:val="left"/>
      <w:pPr>
        <w:tabs>
          <w:tab w:val="num" w:pos="660"/>
        </w:tabs>
        <w:ind w:left="660" w:hanging="360"/>
      </w:pPr>
      <w:rPr>
        <w:rFonts w:cs="Times New Roman" w:hint="default"/>
        <w:i w:val="0"/>
        <w:iCs/>
      </w:rPr>
    </w:lvl>
    <w:lvl w:ilvl="1" w:tplc="B57C09B4">
      <w:start w:val="1"/>
      <w:numFmt w:val="lowerLetter"/>
      <w:lvlText w:val="%2."/>
      <w:lvlJc w:val="left"/>
      <w:pPr>
        <w:ind w:left="1380" w:hanging="360"/>
      </w:pPr>
      <w:rPr>
        <w:rFonts w:cs="Times New Roman" w:hint="default"/>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10">
    <w:nsid w:val="4BED7D37"/>
    <w:multiLevelType w:val="hybridMultilevel"/>
    <w:tmpl w:val="1E2CC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A64C78"/>
    <w:multiLevelType w:val="hybridMultilevel"/>
    <w:tmpl w:val="F28C6EC0"/>
    <w:lvl w:ilvl="0" w:tplc="2820AD90">
      <w:start w:val="1"/>
      <w:numFmt w:val="upperLetter"/>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5BD697E"/>
    <w:multiLevelType w:val="hybridMultilevel"/>
    <w:tmpl w:val="AFA286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E176C83"/>
    <w:multiLevelType w:val="multilevel"/>
    <w:tmpl w:val="FFFFFFFF"/>
    <w:lvl w:ilvl="0">
      <w:start w:val="1"/>
      <w:numFmt w:val="upperLetter"/>
      <w:lvlText w:val="%1."/>
      <w:lvlJc w:val="left"/>
      <w:pPr>
        <w:ind w:left="948" w:hanging="360"/>
      </w:pPr>
      <w:rPr>
        <w:rFonts w:ascii="Times New Roman" w:eastAsia="Times New Roman" w:hAnsi="Times New Roman" w:cs="Times New Roman" w:hint="default"/>
        <w:b/>
        <w:bCs/>
        <w:spacing w:val="-1"/>
        <w:w w:val="99"/>
        <w:sz w:val="24"/>
        <w:szCs w:val="24"/>
      </w:rPr>
    </w:lvl>
    <w:lvl w:ilvl="1">
      <w:start w:val="1"/>
      <w:numFmt w:val="decimal"/>
      <w:lvlText w:val="%2."/>
      <w:lvlJc w:val="left"/>
      <w:pPr>
        <w:ind w:left="1015" w:hanging="360"/>
      </w:pPr>
      <w:rPr>
        <w:rFonts w:ascii="Times New Roman" w:eastAsia="Times New Roman" w:hAnsi="Times New Roman" w:cs="Times New Roman" w:hint="default"/>
        <w:i w:val="0"/>
        <w:iCs/>
        <w:spacing w:val="-22"/>
        <w:w w:val="99"/>
        <w:sz w:val="24"/>
        <w:szCs w:val="24"/>
      </w:rPr>
    </w:lvl>
    <w:lvl w:ilvl="2">
      <w:numFmt w:val="bullet"/>
      <w:lvlText w:val="•"/>
      <w:lvlJc w:val="left"/>
      <w:pPr>
        <w:ind w:left="1880" w:hanging="360"/>
      </w:pPr>
      <w:rPr>
        <w:rFonts w:hint="default"/>
      </w:rPr>
    </w:lvl>
    <w:lvl w:ilvl="3">
      <w:numFmt w:val="bullet"/>
      <w:lvlText w:val="•"/>
      <w:lvlJc w:val="left"/>
      <w:pPr>
        <w:ind w:left="2741" w:hanging="360"/>
      </w:pPr>
      <w:rPr>
        <w:rFonts w:hint="default"/>
      </w:rPr>
    </w:lvl>
    <w:lvl w:ilvl="4">
      <w:numFmt w:val="bullet"/>
      <w:lvlText w:val="•"/>
      <w:lvlJc w:val="left"/>
      <w:pPr>
        <w:ind w:left="3602" w:hanging="360"/>
      </w:pPr>
      <w:rPr>
        <w:rFonts w:hint="default"/>
      </w:rPr>
    </w:lvl>
    <w:lvl w:ilvl="5">
      <w:numFmt w:val="bullet"/>
      <w:lvlText w:val="•"/>
      <w:lvlJc w:val="left"/>
      <w:pPr>
        <w:ind w:left="4462" w:hanging="360"/>
      </w:pPr>
      <w:rPr>
        <w:rFonts w:hint="default"/>
      </w:rPr>
    </w:lvl>
    <w:lvl w:ilvl="6">
      <w:numFmt w:val="bullet"/>
      <w:lvlText w:val="•"/>
      <w:lvlJc w:val="left"/>
      <w:pPr>
        <w:ind w:left="5323" w:hanging="360"/>
      </w:pPr>
      <w:rPr>
        <w:rFonts w:hint="default"/>
      </w:rPr>
    </w:lvl>
    <w:lvl w:ilvl="7">
      <w:numFmt w:val="bullet"/>
      <w:lvlText w:val="•"/>
      <w:lvlJc w:val="left"/>
      <w:pPr>
        <w:ind w:left="6184" w:hanging="360"/>
      </w:pPr>
      <w:rPr>
        <w:rFonts w:hint="default"/>
      </w:rPr>
    </w:lvl>
    <w:lvl w:ilvl="8">
      <w:numFmt w:val="bullet"/>
      <w:lvlText w:val="•"/>
      <w:lvlJc w:val="left"/>
      <w:pPr>
        <w:ind w:left="7044" w:hanging="360"/>
      </w:pPr>
      <w:rPr>
        <w:rFonts w:hint="default"/>
      </w:rPr>
    </w:lvl>
  </w:abstractNum>
  <w:abstractNum w:abstractNumId="14">
    <w:nsid w:val="5FE0666B"/>
    <w:multiLevelType w:val="hybridMultilevel"/>
    <w:tmpl w:val="FFFFFFFF"/>
    <w:lvl w:ilvl="0" w:tplc="B644BE42">
      <w:start w:val="1"/>
      <w:numFmt w:val="upperLetter"/>
      <w:lvlText w:val="%1."/>
      <w:lvlJc w:val="left"/>
      <w:pPr>
        <w:ind w:left="720" w:hanging="360"/>
      </w:pPr>
      <w:rPr>
        <w:rFonts w:cs="Times New Roman" w:hint="default"/>
        <w:b/>
        <w:b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5">
    <w:nsid w:val="76835FF8"/>
    <w:multiLevelType w:val="multilevel"/>
    <w:tmpl w:val="8C589D30"/>
    <w:lvl w:ilvl="0">
      <w:start w:val="1"/>
      <w:numFmt w:val="upperLetter"/>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76CD7019"/>
    <w:multiLevelType w:val="hybridMultilevel"/>
    <w:tmpl w:val="FFFFFFFF"/>
    <w:lvl w:ilvl="0" w:tplc="8014F60C">
      <w:start w:val="1"/>
      <w:numFmt w:val="decimal"/>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17">
    <w:nsid w:val="795E6BB6"/>
    <w:multiLevelType w:val="hybridMultilevel"/>
    <w:tmpl w:val="985A30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13"/>
  </w:num>
  <w:num w:numId="3">
    <w:abstractNumId w:val="14"/>
  </w:num>
  <w:num w:numId="4">
    <w:abstractNumId w:val="1"/>
  </w:num>
  <w:num w:numId="5">
    <w:abstractNumId w:val="16"/>
  </w:num>
  <w:num w:numId="6">
    <w:abstractNumId w:val="4"/>
  </w:num>
  <w:num w:numId="7">
    <w:abstractNumId w:val="11"/>
  </w:num>
  <w:num w:numId="8">
    <w:abstractNumId w:val="9"/>
  </w:num>
  <w:num w:numId="9">
    <w:abstractNumId w:val="0"/>
  </w:num>
  <w:num w:numId="10">
    <w:abstractNumId w:val="12"/>
  </w:num>
  <w:num w:numId="11">
    <w:abstractNumId w:val="17"/>
  </w:num>
  <w:num w:numId="12">
    <w:abstractNumId w:val="8"/>
  </w:num>
  <w:num w:numId="13">
    <w:abstractNumId w:val="15"/>
  </w:num>
  <w:num w:numId="14">
    <w:abstractNumId w:val="2"/>
  </w:num>
  <w:num w:numId="15">
    <w:abstractNumId w:val="10"/>
  </w:num>
  <w:num w:numId="16">
    <w:abstractNumId w:val="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8A5882"/>
    <w:rsid w:val="00001F1B"/>
    <w:rsid w:val="00035376"/>
    <w:rsid w:val="00057006"/>
    <w:rsid w:val="0008072E"/>
    <w:rsid w:val="00084448"/>
    <w:rsid w:val="00087903"/>
    <w:rsid w:val="000A3405"/>
    <w:rsid w:val="000C03A3"/>
    <w:rsid w:val="000C7FEE"/>
    <w:rsid w:val="000E5369"/>
    <w:rsid w:val="000E5A05"/>
    <w:rsid w:val="000E69E3"/>
    <w:rsid w:val="000E70A5"/>
    <w:rsid w:val="000E7423"/>
    <w:rsid w:val="000F5DEF"/>
    <w:rsid w:val="000F7DC4"/>
    <w:rsid w:val="001229B0"/>
    <w:rsid w:val="00123473"/>
    <w:rsid w:val="0012395B"/>
    <w:rsid w:val="001372FF"/>
    <w:rsid w:val="00151E37"/>
    <w:rsid w:val="00171B1B"/>
    <w:rsid w:val="00176D1B"/>
    <w:rsid w:val="001901C6"/>
    <w:rsid w:val="0019160F"/>
    <w:rsid w:val="00196FB4"/>
    <w:rsid w:val="001A3141"/>
    <w:rsid w:val="001A69B5"/>
    <w:rsid w:val="001C1908"/>
    <w:rsid w:val="001D2835"/>
    <w:rsid w:val="001D5ED6"/>
    <w:rsid w:val="00212855"/>
    <w:rsid w:val="00217DAE"/>
    <w:rsid w:val="0022179C"/>
    <w:rsid w:val="00242891"/>
    <w:rsid w:val="002463C2"/>
    <w:rsid w:val="00247658"/>
    <w:rsid w:val="002543FA"/>
    <w:rsid w:val="0027210A"/>
    <w:rsid w:val="002A35C1"/>
    <w:rsid w:val="002B4D57"/>
    <w:rsid w:val="002B7EF7"/>
    <w:rsid w:val="002D602B"/>
    <w:rsid w:val="00313ABB"/>
    <w:rsid w:val="00345552"/>
    <w:rsid w:val="003465EF"/>
    <w:rsid w:val="00366129"/>
    <w:rsid w:val="00366ED2"/>
    <w:rsid w:val="00380C0F"/>
    <w:rsid w:val="003958C6"/>
    <w:rsid w:val="0039693F"/>
    <w:rsid w:val="003A784E"/>
    <w:rsid w:val="003A79F4"/>
    <w:rsid w:val="003D7D08"/>
    <w:rsid w:val="003E06FE"/>
    <w:rsid w:val="003E61D3"/>
    <w:rsid w:val="004048AF"/>
    <w:rsid w:val="00404AB3"/>
    <w:rsid w:val="00416764"/>
    <w:rsid w:val="004438E8"/>
    <w:rsid w:val="004509E1"/>
    <w:rsid w:val="00464DBE"/>
    <w:rsid w:val="00481346"/>
    <w:rsid w:val="00497FE6"/>
    <w:rsid w:val="004A199F"/>
    <w:rsid w:val="004D2A84"/>
    <w:rsid w:val="00517D51"/>
    <w:rsid w:val="00533D09"/>
    <w:rsid w:val="0057264F"/>
    <w:rsid w:val="005778DA"/>
    <w:rsid w:val="0058110D"/>
    <w:rsid w:val="0059426C"/>
    <w:rsid w:val="005C3DCE"/>
    <w:rsid w:val="005C609D"/>
    <w:rsid w:val="005D3A5F"/>
    <w:rsid w:val="005D4BBB"/>
    <w:rsid w:val="005E0AB8"/>
    <w:rsid w:val="005F6342"/>
    <w:rsid w:val="00602E25"/>
    <w:rsid w:val="006168ED"/>
    <w:rsid w:val="00627D36"/>
    <w:rsid w:val="00637D98"/>
    <w:rsid w:val="006444CF"/>
    <w:rsid w:val="00660FB7"/>
    <w:rsid w:val="00672DBD"/>
    <w:rsid w:val="00686CC9"/>
    <w:rsid w:val="00687320"/>
    <w:rsid w:val="00695020"/>
    <w:rsid w:val="006D542E"/>
    <w:rsid w:val="006F66C5"/>
    <w:rsid w:val="0070011F"/>
    <w:rsid w:val="007251D1"/>
    <w:rsid w:val="0073626C"/>
    <w:rsid w:val="007B21B7"/>
    <w:rsid w:val="007C6C4A"/>
    <w:rsid w:val="007F35E9"/>
    <w:rsid w:val="0080366A"/>
    <w:rsid w:val="00812D03"/>
    <w:rsid w:val="008169FC"/>
    <w:rsid w:val="00860EDC"/>
    <w:rsid w:val="00867A06"/>
    <w:rsid w:val="00890049"/>
    <w:rsid w:val="008A5882"/>
    <w:rsid w:val="008A61EA"/>
    <w:rsid w:val="008A64D4"/>
    <w:rsid w:val="008B5375"/>
    <w:rsid w:val="008E1920"/>
    <w:rsid w:val="008E59AD"/>
    <w:rsid w:val="008E716B"/>
    <w:rsid w:val="00925C02"/>
    <w:rsid w:val="009276D5"/>
    <w:rsid w:val="00962515"/>
    <w:rsid w:val="00967E20"/>
    <w:rsid w:val="00971908"/>
    <w:rsid w:val="00993AC7"/>
    <w:rsid w:val="009A4C93"/>
    <w:rsid w:val="009D661F"/>
    <w:rsid w:val="009E1D30"/>
    <w:rsid w:val="009E6E52"/>
    <w:rsid w:val="009F0762"/>
    <w:rsid w:val="00A070B7"/>
    <w:rsid w:val="00A10C6E"/>
    <w:rsid w:val="00A3057F"/>
    <w:rsid w:val="00A34D19"/>
    <w:rsid w:val="00A43BA5"/>
    <w:rsid w:val="00A83E43"/>
    <w:rsid w:val="00AB116F"/>
    <w:rsid w:val="00AB7EC0"/>
    <w:rsid w:val="00AC3826"/>
    <w:rsid w:val="00AD0753"/>
    <w:rsid w:val="00AF19F3"/>
    <w:rsid w:val="00B17413"/>
    <w:rsid w:val="00B22DE1"/>
    <w:rsid w:val="00B37B31"/>
    <w:rsid w:val="00B64C62"/>
    <w:rsid w:val="00B65881"/>
    <w:rsid w:val="00B85C69"/>
    <w:rsid w:val="00BA2620"/>
    <w:rsid w:val="00BB3C46"/>
    <w:rsid w:val="00BC2749"/>
    <w:rsid w:val="00BE4966"/>
    <w:rsid w:val="00BF461F"/>
    <w:rsid w:val="00BF6C71"/>
    <w:rsid w:val="00C21607"/>
    <w:rsid w:val="00C24D93"/>
    <w:rsid w:val="00C55216"/>
    <w:rsid w:val="00C72265"/>
    <w:rsid w:val="00CB3F90"/>
    <w:rsid w:val="00CC083F"/>
    <w:rsid w:val="00CC68C2"/>
    <w:rsid w:val="00CC6AF2"/>
    <w:rsid w:val="00D0093F"/>
    <w:rsid w:val="00D01C11"/>
    <w:rsid w:val="00D1045C"/>
    <w:rsid w:val="00D12274"/>
    <w:rsid w:val="00D20517"/>
    <w:rsid w:val="00D321D1"/>
    <w:rsid w:val="00D52AA3"/>
    <w:rsid w:val="00D52B0A"/>
    <w:rsid w:val="00D64253"/>
    <w:rsid w:val="00D84B1E"/>
    <w:rsid w:val="00D864EA"/>
    <w:rsid w:val="00D9342C"/>
    <w:rsid w:val="00DB7F2A"/>
    <w:rsid w:val="00DE2BF7"/>
    <w:rsid w:val="00DE3552"/>
    <w:rsid w:val="00DE39B2"/>
    <w:rsid w:val="00E03136"/>
    <w:rsid w:val="00E15D52"/>
    <w:rsid w:val="00E25AFC"/>
    <w:rsid w:val="00E377B5"/>
    <w:rsid w:val="00E52798"/>
    <w:rsid w:val="00E71BF5"/>
    <w:rsid w:val="00E741D1"/>
    <w:rsid w:val="00E7425F"/>
    <w:rsid w:val="00E94F53"/>
    <w:rsid w:val="00E96126"/>
    <w:rsid w:val="00EA3CF1"/>
    <w:rsid w:val="00EB4EFF"/>
    <w:rsid w:val="00EC0679"/>
    <w:rsid w:val="00EE7B09"/>
    <w:rsid w:val="00EF06AB"/>
    <w:rsid w:val="00EF5921"/>
    <w:rsid w:val="00EF6B5A"/>
    <w:rsid w:val="00F6486C"/>
    <w:rsid w:val="00F74630"/>
    <w:rsid w:val="00F85CE5"/>
    <w:rsid w:val="00F93332"/>
    <w:rsid w:val="00F9697C"/>
    <w:rsid w:val="00FC6044"/>
    <w:rsid w:val="00FE46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13" type="connector" idref="#AutoShape 21"/>
        <o:r id="V:Rule14" type="connector" idref="#AutoShape 18"/>
        <o:r id="V:Rule15" type="connector" idref="#AutoShape 16"/>
        <o:r id="V:Rule16" type="connector" idref="#AutoShape 12"/>
        <o:r id="V:Rule17" type="connector" idref="#AutoShape 13"/>
        <o:r id="V:Rule18" type="connector" idref="#AutoShape 17"/>
        <o:r id="V:Rule19" type="connector" idref="#AutoShape 20"/>
        <o:r id="V:Rule20" type="connector" idref="#AutoShape 19"/>
        <o:r id="V:Rule21" type="connector" idref="#AutoShape 10"/>
        <o:r id="V:Rule22" type="connector" idref="#AutoShape 15"/>
        <o:r id="V:Rule23" type="connector" idref="#AutoShape 11"/>
        <o:r id="V:Rule24" type="connector" idref="#AutoShape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ID"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882"/>
    <w:pPr>
      <w:spacing w:before="553" w:after="0" w:line="360" w:lineRule="auto"/>
      <w:ind w:left="1173" w:hanging="357"/>
    </w:pPr>
    <w:rPr>
      <w:rFonts w:cs="Times New Roman"/>
      <w:lang w:val="id-ID"/>
    </w:rPr>
  </w:style>
  <w:style w:type="paragraph" w:styleId="Heading3">
    <w:name w:val="heading 3"/>
    <w:basedOn w:val="Normal"/>
    <w:link w:val="Heading3Char"/>
    <w:uiPriority w:val="9"/>
    <w:qFormat/>
    <w:rsid w:val="00497FE6"/>
    <w:pPr>
      <w:spacing w:before="100" w:beforeAutospacing="1" w:after="100" w:afterAutospacing="1" w:line="240" w:lineRule="auto"/>
      <w:ind w:left="0" w:firstLine="0"/>
      <w:outlineLvl w:val="2"/>
    </w:pPr>
    <w:rPr>
      <w:rFonts w:ascii="Times New Roman" w:hAnsi="Times New Roman"/>
      <w:b/>
      <w:bCs/>
      <w:sz w:val="27"/>
      <w:szCs w:val="27"/>
      <w:lang w:val="en-US"/>
    </w:rPr>
  </w:style>
  <w:style w:type="paragraph" w:styleId="Heading4">
    <w:name w:val="heading 4"/>
    <w:basedOn w:val="Normal"/>
    <w:next w:val="Normal"/>
    <w:link w:val="Heading4Char"/>
    <w:uiPriority w:val="9"/>
    <w:semiHidden/>
    <w:unhideWhenUsed/>
    <w:qFormat/>
    <w:rsid w:val="008A5882"/>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97FE6"/>
    <w:rPr>
      <w:rFonts w:ascii="Times New Roman" w:hAnsi="Times New Roman" w:cs="Times New Roman"/>
      <w:b/>
      <w:bCs/>
      <w:sz w:val="27"/>
      <w:szCs w:val="27"/>
      <w:lang w:val="en-US"/>
    </w:rPr>
  </w:style>
  <w:style w:type="character" w:customStyle="1" w:styleId="Heading4Char">
    <w:name w:val="Heading 4 Char"/>
    <w:basedOn w:val="DefaultParagraphFont"/>
    <w:link w:val="Heading4"/>
    <w:uiPriority w:val="9"/>
    <w:semiHidden/>
    <w:locked/>
    <w:rsid w:val="008A5882"/>
    <w:rPr>
      <w:rFonts w:ascii="Calibri" w:hAnsi="Calibri" w:cs="Arial"/>
      <w:b/>
      <w:bCs/>
      <w:sz w:val="28"/>
      <w:szCs w:val="28"/>
      <w:lang w:val="id-ID"/>
    </w:rPr>
  </w:style>
  <w:style w:type="paragraph" w:styleId="BodyText">
    <w:name w:val="Body Text"/>
    <w:basedOn w:val="Normal"/>
    <w:link w:val="BodyTextChar"/>
    <w:uiPriority w:val="99"/>
    <w:unhideWhenUsed/>
    <w:qFormat/>
    <w:rsid w:val="008A5882"/>
    <w:pPr>
      <w:spacing w:after="120"/>
    </w:pPr>
  </w:style>
  <w:style w:type="character" w:customStyle="1" w:styleId="BodyTextChar">
    <w:name w:val="Body Text Char"/>
    <w:basedOn w:val="DefaultParagraphFont"/>
    <w:link w:val="BodyText"/>
    <w:uiPriority w:val="99"/>
    <w:locked/>
    <w:rsid w:val="008A5882"/>
    <w:rPr>
      <w:rFonts w:cs="Times New Roman"/>
      <w:lang w:val="id-ID"/>
    </w:rPr>
  </w:style>
  <w:style w:type="character" w:styleId="CommentReference">
    <w:name w:val="annotation reference"/>
    <w:basedOn w:val="DefaultParagraphFont"/>
    <w:uiPriority w:val="99"/>
    <w:semiHidden/>
    <w:unhideWhenUsed/>
    <w:qFormat/>
    <w:rsid w:val="008A5882"/>
    <w:rPr>
      <w:rFonts w:cs="Times New Roman"/>
      <w:sz w:val="16"/>
      <w:szCs w:val="16"/>
    </w:rPr>
  </w:style>
  <w:style w:type="character" w:styleId="Emphasis">
    <w:name w:val="Emphasis"/>
    <w:basedOn w:val="DefaultParagraphFont"/>
    <w:qFormat/>
    <w:rsid w:val="008A5882"/>
    <w:rPr>
      <w:rFonts w:cs="Times New Roman"/>
      <w:i/>
      <w:iCs/>
    </w:rPr>
  </w:style>
  <w:style w:type="paragraph" w:styleId="Footer">
    <w:name w:val="footer"/>
    <w:basedOn w:val="Normal"/>
    <w:link w:val="FooterChar"/>
    <w:uiPriority w:val="99"/>
    <w:unhideWhenUsed/>
    <w:qFormat/>
    <w:rsid w:val="008A5882"/>
    <w:pPr>
      <w:tabs>
        <w:tab w:val="center" w:pos="4153"/>
        <w:tab w:val="right" w:pos="8306"/>
      </w:tabs>
      <w:spacing w:before="0" w:line="240" w:lineRule="auto"/>
    </w:pPr>
  </w:style>
  <w:style w:type="character" w:customStyle="1" w:styleId="FooterChar">
    <w:name w:val="Footer Char"/>
    <w:basedOn w:val="DefaultParagraphFont"/>
    <w:link w:val="Footer"/>
    <w:uiPriority w:val="99"/>
    <w:locked/>
    <w:rsid w:val="008A5882"/>
    <w:rPr>
      <w:rFonts w:cs="Times New Roman"/>
      <w:lang w:val="id-ID"/>
    </w:rPr>
  </w:style>
  <w:style w:type="character" w:styleId="FootnoteReference">
    <w:name w:val="footnote reference"/>
    <w:basedOn w:val="DefaultParagraphFont"/>
    <w:unhideWhenUsed/>
    <w:qFormat/>
    <w:rsid w:val="008A5882"/>
    <w:rPr>
      <w:rFonts w:cs="Times New Roman"/>
      <w:vertAlign w:val="superscript"/>
    </w:rPr>
  </w:style>
  <w:style w:type="paragraph" w:styleId="FootnoteText">
    <w:name w:val="footnote text"/>
    <w:aliases w:val="Char"/>
    <w:basedOn w:val="Normal"/>
    <w:link w:val="FootnoteTextChar"/>
    <w:unhideWhenUsed/>
    <w:qFormat/>
    <w:rsid w:val="008A5882"/>
    <w:rPr>
      <w:sz w:val="20"/>
      <w:szCs w:val="20"/>
    </w:rPr>
  </w:style>
  <w:style w:type="character" w:customStyle="1" w:styleId="FootnoteTextChar">
    <w:name w:val="Footnote Text Char"/>
    <w:aliases w:val="Char Char"/>
    <w:basedOn w:val="DefaultParagraphFont"/>
    <w:link w:val="FootnoteText"/>
    <w:locked/>
    <w:rsid w:val="008A5882"/>
    <w:rPr>
      <w:rFonts w:cs="Times New Roman"/>
      <w:sz w:val="20"/>
      <w:szCs w:val="20"/>
      <w:lang w:val="id-ID"/>
    </w:rPr>
  </w:style>
  <w:style w:type="paragraph" w:styleId="Header">
    <w:name w:val="header"/>
    <w:basedOn w:val="Normal"/>
    <w:link w:val="HeaderChar"/>
    <w:uiPriority w:val="99"/>
    <w:rsid w:val="008A5882"/>
    <w:pPr>
      <w:tabs>
        <w:tab w:val="center" w:pos="4153"/>
        <w:tab w:val="right" w:pos="8306"/>
      </w:tabs>
      <w:snapToGrid w:val="0"/>
    </w:pPr>
    <w:rPr>
      <w:sz w:val="18"/>
      <w:szCs w:val="18"/>
    </w:rPr>
  </w:style>
  <w:style w:type="character" w:customStyle="1" w:styleId="HeaderChar">
    <w:name w:val="Header Char"/>
    <w:basedOn w:val="DefaultParagraphFont"/>
    <w:link w:val="Header"/>
    <w:uiPriority w:val="99"/>
    <w:locked/>
    <w:rsid w:val="008A5882"/>
    <w:rPr>
      <w:rFonts w:cs="Times New Roman"/>
      <w:sz w:val="18"/>
      <w:szCs w:val="18"/>
      <w:lang w:val="id-ID"/>
    </w:rPr>
  </w:style>
  <w:style w:type="character" w:styleId="Hyperlink">
    <w:name w:val="Hyperlink"/>
    <w:basedOn w:val="DefaultParagraphFont"/>
    <w:uiPriority w:val="99"/>
    <w:unhideWhenUsed/>
    <w:qFormat/>
    <w:rsid w:val="008A5882"/>
    <w:rPr>
      <w:rFonts w:cs="Times New Roman"/>
      <w:color w:val="0563C1" w:themeColor="hyperlink"/>
      <w:u w:val="single"/>
    </w:rPr>
  </w:style>
  <w:style w:type="paragraph" w:styleId="NormalWeb">
    <w:name w:val="Normal (Web)"/>
    <w:basedOn w:val="Normal"/>
    <w:link w:val="NormalWebChar"/>
    <w:uiPriority w:val="99"/>
    <w:unhideWhenUsed/>
    <w:qFormat/>
    <w:rsid w:val="008A5882"/>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basedOn w:val="DefaultParagraphFont"/>
    <w:link w:val="NormalWeb"/>
    <w:uiPriority w:val="99"/>
    <w:locked/>
    <w:rsid w:val="002543FA"/>
    <w:rPr>
      <w:rFonts w:ascii="Times New Roman" w:hAnsi="Times New Roman" w:cs="Times New Roman"/>
      <w:sz w:val="24"/>
      <w:szCs w:val="24"/>
      <w:lang w:val="id-ID"/>
    </w:rPr>
  </w:style>
  <w:style w:type="paragraph" w:styleId="ListParagraph">
    <w:name w:val="List Paragraph"/>
    <w:basedOn w:val="Normal"/>
    <w:link w:val="ListParagraphChar"/>
    <w:uiPriority w:val="34"/>
    <w:qFormat/>
    <w:rsid w:val="008A5882"/>
    <w:pPr>
      <w:widowControl w:val="0"/>
      <w:autoSpaceDE w:val="0"/>
      <w:autoSpaceDN w:val="0"/>
      <w:ind w:left="1015" w:hanging="360"/>
      <w:jc w:val="both"/>
    </w:pPr>
    <w:rPr>
      <w:rFonts w:ascii="Times New Roman" w:hAnsi="Times New Roman"/>
      <w:lang w:val="en-US"/>
    </w:rPr>
  </w:style>
  <w:style w:type="character" w:customStyle="1" w:styleId="ListParagraphChar">
    <w:name w:val="List Paragraph Char"/>
    <w:link w:val="ListParagraph"/>
    <w:uiPriority w:val="34"/>
    <w:locked/>
    <w:rsid w:val="008A5882"/>
    <w:rPr>
      <w:rFonts w:ascii="Times New Roman" w:hAnsi="Times New Roman"/>
      <w:lang w:val="en-US"/>
    </w:rPr>
  </w:style>
  <w:style w:type="paragraph" w:styleId="NoSpacing">
    <w:name w:val="No Spacing"/>
    <w:uiPriority w:val="1"/>
    <w:qFormat/>
    <w:rsid w:val="008A5882"/>
    <w:pPr>
      <w:spacing w:after="0" w:line="240" w:lineRule="auto"/>
    </w:pPr>
    <w:rPr>
      <w:rFonts w:ascii="Calibri" w:hAnsi="Calibri" w:cs="Arial"/>
      <w:lang w:val="en-US"/>
    </w:rPr>
  </w:style>
  <w:style w:type="character" w:customStyle="1" w:styleId="fullpost">
    <w:name w:val="fullpost"/>
    <w:basedOn w:val="DefaultParagraphFont"/>
    <w:qFormat/>
    <w:rsid w:val="008A5882"/>
    <w:rPr>
      <w:rFonts w:cs="Times New Roman"/>
    </w:rPr>
  </w:style>
  <w:style w:type="character" w:customStyle="1" w:styleId="publication-meta-journal">
    <w:name w:val="publication-meta-journal"/>
    <w:basedOn w:val="DefaultParagraphFont"/>
    <w:qFormat/>
    <w:rsid w:val="008A5882"/>
    <w:rPr>
      <w:rFonts w:cs="Times New Roman"/>
    </w:rPr>
  </w:style>
  <w:style w:type="character" w:customStyle="1" w:styleId="publication-meta-date">
    <w:name w:val="publication-meta-date"/>
    <w:basedOn w:val="DefaultParagraphFont"/>
    <w:qFormat/>
    <w:rsid w:val="008A5882"/>
    <w:rPr>
      <w:rFonts w:cs="Times New Roman"/>
    </w:rPr>
  </w:style>
  <w:style w:type="character" w:customStyle="1" w:styleId="UnresolvedMention">
    <w:name w:val="Unresolved Mention"/>
    <w:basedOn w:val="DefaultParagraphFont"/>
    <w:uiPriority w:val="99"/>
    <w:semiHidden/>
    <w:unhideWhenUsed/>
    <w:rsid w:val="008A5882"/>
    <w:rPr>
      <w:rFonts w:cs="Times New Roman"/>
      <w:color w:val="605E5C"/>
      <w:shd w:val="clear" w:color="auto" w:fill="E1DFDD"/>
    </w:rPr>
  </w:style>
  <w:style w:type="paragraph" w:styleId="CommentText">
    <w:name w:val="annotation text"/>
    <w:basedOn w:val="Normal"/>
    <w:link w:val="CommentTextChar"/>
    <w:uiPriority w:val="99"/>
    <w:rsid w:val="008A5882"/>
    <w:pPr>
      <w:spacing w:line="240" w:lineRule="auto"/>
    </w:pPr>
    <w:rPr>
      <w:sz w:val="20"/>
      <w:szCs w:val="20"/>
    </w:rPr>
  </w:style>
  <w:style w:type="character" w:customStyle="1" w:styleId="CommentTextChar">
    <w:name w:val="Comment Text Char"/>
    <w:basedOn w:val="DefaultParagraphFont"/>
    <w:link w:val="CommentText"/>
    <w:uiPriority w:val="99"/>
    <w:locked/>
    <w:rsid w:val="008A5882"/>
    <w:rPr>
      <w:rFonts w:cs="Times New Roman"/>
      <w:sz w:val="20"/>
      <w:szCs w:val="20"/>
      <w:lang w:val="id-ID"/>
    </w:rPr>
  </w:style>
  <w:style w:type="paragraph" w:styleId="CommentSubject">
    <w:name w:val="annotation subject"/>
    <w:basedOn w:val="CommentText"/>
    <w:next w:val="CommentText"/>
    <w:link w:val="CommentSubjectChar"/>
    <w:uiPriority w:val="99"/>
    <w:rsid w:val="008A5882"/>
    <w:rPr>
      <w:b/>
      <w:bCs/>
    </w:rPr>
  </w:style>
  <w:style w:type="character" w:customStyle="1" w:styleId="CommentSubjectChar">
    <w:name w:val="Comment Subject Char"/>
    <w:basedOn w:val="CommentTextChar"/>
    <w:link w:val="CommentSubject"/>
    <w:uiPriority w:val="99"/>
    <w:locked/>
    <w:rsid w:val="008A5882"/>
    <w:rPr>
      <w:b/>
      <w:bCs/>
    </w:rPr>
  </w:style>
  <w:style w:type="paragraph" w:styleId="BalloonText">
    <w:name w:val="Balloon Text"/>
    <w:basedOn w:val="Normal"/>
    <w:link w:val="BalloonTextChar"/>
    <w:uiPriority w:val="99"/>
    <w:rsid w:val="008A58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8A5882"/>
    <w:rPr>
      <w:rFonts w:ascii="Segoe UI" w:hAnsi="Segoe UI" w:cs="Segoe UI"/>
      <w:sz w:val="18"/>
      <w:szCs w:val="18"/>
      <w:lang w:val="id-ID"/>
    </w:rPr>
  </w:style>
  <w:style w:type="table" w:styleId="TableGrid">
    <w:name w:val="Table Grid"/>
    <w:basedOn w:val="TableNormal"/>
    <w:uiPriority w:val="59"/>
    <w:rsid w:val="00035376"/>
    <w:pPr>
      <w:spacing w:after="0" w:line="240" w:lineRule="auto"/>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15"/>
    <w:basedOn w:val="DefaultParagraphFont"/>
    <w:rsid w:val="00DE2BF7"/>
    <w:rPr>
      <w:rFonts w:ascii="Times New Roman" w:hAnsi="Times New Roman" w:cs="Times New Roman"/>
      <w:color w:val="0000FF"/>
      <w:sz w:val="24"/>
      <w:szCs w:val="24"/>
      <w:u w:val="single"/>
    </w:rPr>
  </w:style>
  <w:style w:type="character" w:customStyle="1" w:styleId="EndnoteTextChar">
    <w:name w:val="Endnote Text Char"/>
    <w:basedOn w:val="DefaultParagraphFont"/>
    <w:link w:val="EndnoteText"/>
    <w:uiPriority w:val="99"/>
    <w:semiHidden/>
    <w:rsid w:val="002543FA"/>
    <w:rPr>
      <w:rFonts w:ascii="Times New Roman" w:hAnsi="Times New Roman" w:cs="Times New Roman"/>
      <w:sz w:val="20"/>
      <w:szCs w:val="20"/>
      <w:lang w:val="en-US"/>
    </w:rPr>
  </w:style>
  <w:style w:type="paragraph" w:styleId="EndnoteText">
    <w:name w:val="endnote text"/>
    <w:basedOn w:val="Normal"/>
    <w:link w:val="EndnoteTextChar"/>
    <w:uiPriority w:val="99"/>
    <w:semiHidden/>
    <w:unhideWhenUsed/>
    <w:rsid w:val="002543FA"/>
    <w:pPr>
      <w:spacing w:before="0" w:line="240" w:lineRule="auto"/>
      <w:ind w:left="0" w:firstLine="0"/>
      <w:jc w:val="right"/>
    </w:pPr>
    <w:rPr>
      <w:rFonts w:ascii="Times New Roman" w:hAnsi="Times New Roman"/>
      <w:sz w:val="20"/>
      <w:szCs w:val="20"/>
      <w:lang w:val="en-US"/>
    </w:rPr>
  </w:style>
  <w:style w:type="character" w:styleId="Strong">
    <w:name w:val="Strong"/>
    <w:basedOn w:val="DefaultParagraphFont"/>
    <w:uiPriority w:val="22"/>
    <w:qFormat/>
    <w:rsid w:val="002543FA"/>
    <w:rPr>
      <w:b/>
      <w:bCs/>
    </w:rPr>
  </w:style>
  <w:style w:type="character" w:customStyle="1" w:styleId="kcmread1114">
    <w:name w:val="kcmread1114"/>
    <w:basedOn w:val="DefaultParagraphFont"/>
    <w:rsid w:val="002543FA"/>
  </w:style>
  <w:style w:type="character" w:customStyle="1" w:styleId="apple-style-span">
    <w:name w:val="apple-style-span"/>
    <w:basedOn w:val="DefaultParagraphFont"/>
    <w:rsid w:val="002543FA"/>
    <w:rPr>
      <w:rFonts w:cs="Times New Roman"/>
    </w:rPr>
  </w:style>
  <w:style w:type="character" w:customStyle="1" w:styleId="apple-converted-space">
    <w:name w:val="apple-converted-space"/>
    <w:basedOn w:val="DefaultParagraphFont"/>
    <w:rsid w:val="002543FA"/>
    <w:rPr>
      <w:rFonts w:cs="Times New Roman"/>
    </w:rPr>
  </w:style>
  <w:style w:type="paragraph" w:customStyle="1" w:styleId="Default">
    <w:name w:val="Default"/>
    <w:rsid w:val="002543FA"/>
    <w:pPr>
      <w:autoSpaceDE w:val="0"/>
      <w:autoSpaceDN w:val="0"/>
      <w:adjustRightInd w:val="0"/>
      <w:spacing w:after="0" w:line="240" w:lineRule="auto"/>
    </w:pPr>
    <w:rPr>
      <w:rFonts w:ascii="Book Antiqua" w:hAnsi="Book Antiqua" w:cs="Book Antiqua"/>
      <w:color w:val="000000"/>
      <w:sz w:val="24"/>
      <w:szCs w:val="24"/>
      <w:lang w:val="en-US"/>
    </w:rPr>
  </w:style>
  <w:style w:type="paragraph" w:customStyle="1" w:styleId="Normal1">
    <w:name w:val="Normal+1"/>
    <w:basedOn w:val="Default"/>
    <w:next w:val="Default"/>
    <w:uiPriority w:val="99"/>
    <w:rsid w:val="002543FA"/>
    <w:rPr>
      <w:rFonts w:cs="Times New Roman"/>
      <w:color w:val="auto"/>
    </w:rPr>
  </w:style>
  <w:style w:type="paragraph" w:customStyle="1" w:styleId="msolistparagraph0">
    <w:name w:val="msolistparagraph"/>
    <w:basedOn w:val="Normal"/>
    <w:rsid w:val="002543FA"/>
    <w:pPr>
      <w:spacing w:before="0" w:line="240" w:lineRule="auto"/>
      <w:ind w:left="720" w:firstLine="0"/>
      <w:jc w:val="both"/>
    </w:pPr>
    <w:rPr>
      <w:rFonts w:ascii="Calibri" w:hAnsi="Calibri" w:cs="Calibri"/>
      <w:lang w:val="en-US"/>
    </w:rPr>
  </w:style>
  <w:style w:type="character" w:customStyle="1" w:styleId="FootnoteCharacters">
    <w:name w:val="Footnote Characters"/>
    <w:basedOn w:val="DefaultParagraphFont"/>
    <w:uiPriority w:val="99"/>
    <w:rsid w:val="002543FA"/>
    <w:rPr>
      <w:rFonts w:cs="Times New Roman"/>
      <w:vertAlign w:val="superscript"/>
    </w:rPr>
  </w:style>
  <w:style w:type="paragraph" w:customStyle="1" w:styleId="Normal4">
    <w:name w:val="Normal+4"/>
    <w:basedOn w:val="Default"/>
    <w:next w:val="Default"/>
    <w:uiPriority w:val="99"/>
    <w:rsid w:val="002543FA"/>
    <w:rPr>
      <w:rFonts w:ascii="Times New Roman" w:hAnsi="Times New Roman" w:cs="Times New Roman"/>
      <w:color w:val="auto"/>
    </w:rPr>
  </w:style>
  <w:style w:type="paragraph" w:customStyle="1" w:styleId="BodyText21">
    <w:name w:val="Body Text 2+1"/>
    <w:basedOn w:val="Default"/>
    <w:next w:val="Default"/>
    <w:uiPriority w:val="99"/>
    <w:rsid w:val="002543FA"/>
    <w:rPr>
      <w:rFonts w:ascii="Times New Roman" w:hAnsi="Times New Roman" w:cs="Times New Roman"/>
      <w:color w:val="auto"/>
    </w:rPr>
  </w:style>
  <w:style w:type="paragraph" w:customStyle="1" w:styleId="Normal5">
    <w:name w:val="Normal+5"/>
    <w:basedOn w:val="Default"/>
    <w:next w:val="Default"/>
    <w:uiPriority w:val="99"/>
    <w:rsid w:val="002543FA"/>
    <w:rPr>
      <w:rFonts w:ascii="Times New Roman" w:hAnsi="Times New Roman" w:cs="Times New Roman"/>
      <w:color w:val="auto"/>
    </w:rPr>
  </w:style>
  <w:style w:type="paragraph" w:customStyle="1" w:styleId="Normal3">
    <w:name w:val="Normal+3"/>
    <w:basedOn w:val="Default"/>
    <w:next w:val="Default"/>
    <w:uiPriority w:val="99"/>
    <w:rsid w:val="002543FA"/>
    <w:rPr>
      <w:rFonts w:ascii="Times New Roman" w:hAnsi="Times New Roman" w:cs="Times New Roman"/>
      <w:color w:val="auto"/>
    </w:rPr>
  </w:style>
  <w:style w:type="paragraph" w:customStyle="1" w:styleId="Normal2">
    <w:name w:val="Normal+2"/>
    <w:basedOn w:val="Default"/>
    <w:next w:val="Default"/>
    <w:uiPriority w:val="99"/>
    <w:rsid w:val="002543FA"/>
    <w:rPr>
      <w:rFonts w:ascii="Times New Roman" w:hAnsi="Times New Roman" w:cs="Times New Roman"/>
      <w:color w:val="auto"/>
    </w:rPr>
  </w:style>
  <w:style w:type="table" w:customStyle="1" w:styleId="TableGrid1">
    <w:name w:val="Table Grid1"/>
    <w:basedOn w:val="TableNormal"/>
    <w:next w:val="TableGrid"/>
    <w:uiPriority w:val="39"/>
    <w:rsid w:val="002543FA"/>
    <w:pPr>
      <w:spacing w:after="0" w:line="240" w:lineRule="auto"/>
    </w:pPr>
    <w:rPr>
      <w:rFonts w:ascii="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254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0" w:firstLine="0"/>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2543FA"/>
    <w:rPr>
      <w:rFonts w:ascii="Courier New" w:hAnsi="Courier New" w:cs="Courier New"/>
      <w:sz w:val="20"/>
      <w:szCs w:val="20"/>
      <w:lang w:eastAsia="en-ID"/>
    </w:rPr>
  </w:style>
  <w:style w:type="character" w:customStyle="1" w:styleId="y2iqfc">
    <w:name w:val="y2iqfc"/>
    <w:basedOn w:val="DefaultParagraphFont"/>
    <w:rsid w:val="002543FA"/>
  </w:style>
  <w:style w:type="character" w:customStyle="1" w:styleId="BodyTextIndent2Char">
    <w:name w:val="Body Text Indent 2 Char"/>
    <w:link w:val="BodyTextIndent2"/>
    <w:rsid w:val="00497FE6"/>
    <w:rPr>
      <w:kern w:val="32"/>
      <w:sz w:val="24"/>
      <w:szCs w:val="24"/>
    </w:rPr>
  </w:style>
  <w:style w:type="paragraph" w:styleId="BodyTextIndent2">
    <w:name w:val="Body Text Indent 2"/>
    <w:basedOn w:val="Normal"/>
    <w:link w:val="BodyTextIndent2Char"/>
    <w:rsid w:val="00497FE6"/>
    <w:pPr>
      <w:tabs>
        <w:tab w:val="left" w:pos="540"/>
        <w:tab w:val="left" w:pos="900"/>
      </w:tabs>
      <w:spacing w:before="0" w:line="480" w:lineRule="auto"/>
      <w:ind w:left="540" w:firstLine="0"/>
      <w:jc w:val="both"/>
    </w:pPr>
    <w:rPr>
      <w:rFonts w:cstheme="minorHAnsi"/>
      <w:kern w:val="32"/>
      <w:sz w:val="24"/>
      <w:szCs w:val="24"/>
      <w:lang w:val="en-ID"/>
    </w:rPr>
  </w:style>
  <w:style w:type="character" w:customStyle="1" w:styleId="BodyTextIndent2Char1">
    <w:name w:val="Body Text Indent 2 Char1"/>
    <w:basedOn w:val="DefaultParagraphFont"/>
    <w:link w:val="BodyTextIndent2"/>
    <w:uiPriority w:val="99"/>
    <w:semiHidden/>
    <w:rsid w:val="00497FE6"/>
    <w:rPr>
      <w:rFonts w:cs="Times New Roman"/>
      <w:lang w:val="id-ID"/>
    </w:rPr>
  </w:style>
  <w:style w:type="character" w:customStyle="1" w:styleId="viiyi">
    <w:name w:val="viiyi"/>
    <w:basedOn w:val="DefaultParagraphFont"/>
    <w:rsid w:val="00497FE6"/>
  </w:style>
  <w:style w:type="character" w:customStyle="1" w:styleId="jlqj4b">
    <w:name w:val="jlqj4b"/>
    <w:basedOn w:val="DefaultParagraphFont"/>
    <w:rsid w:val="00497FE6"/>
  </w:style>
</w:styles>
</file>

<file path=word/webSettings.xml><?xml version="1.0" encoding="utf-8"?>
<w:webSettings xmlns:r="http://schemas.openxmlformats.org/officeDocument/2006/relationships" xmlns:w="http://schemas.openxmlformats.org/wordprocessingml/2006/main">
  <w:divs>
    <w:div w:id="113016598">
      <w:bodyDiv w:val="1"/>
      <w:marLeft w:val="0"/>
      <w:marRight w:val="0"/>
      <w:marTop w:val="0"/>
      <w:marBottom w:val="0"/>
      <w:divBdr>
        <w:top w:val="none" w:sz="0" w:space="0" w:color="auto"/>
        <w:left w:val="none" w:sz="0" w:space="0" w:color="auto"/>
        <w:bottom w:val="none" w:sz="0" w:space="0" w:color="auto"/>
        <w:right w:val="none" w:sz="0" w:space="0" w:color="auto"/>
      </w:divBdr>
    </w:div>
    <w:div w:id="14668531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rwani@unitomo.ac.id1"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liling.listyawati@unitomo.ac.id5"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majanti.sri@unitomo.ac.id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mailto:dianferriswara@unitomo.ac.id3"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herusuprihhadi@stiesia.ac.id2" TargetMode="External"/><Relationship Id="rId14" Type="http://schemas.openxmlformats.org/officeDocument/2006/relationships/image" Target="media/image2.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s://ejournal.radenintan.ac.id/index.php/ikonomik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konomika_submission@radenintan.ac.id" TargetMode="External"/><Relationship Id="rId1" Type="http://schemas.openxmlformats.org/officeDocument/2006/relationships/hyperlink" Target="https://ejournal.radenintan.ac.id/index.php/ikonomika"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dianferriswara@unitomo.ac.id3" TargetMode="External"/><Relationship Id="rId2" Type="http://schemas.openxmlformats.org/officeDocument/2006/relationships/hyperlink" Target="mailto:herusuprihhadi@stiesia.ac.id2" TargetMode="External"/><Relationship Id="rId1" Type="http://schemas.openxmlformats.org/officeDocument/2006/relationships/hyperlink" Target="mailto:sarwani@unitomo.ac.id1" TargetMode="External"/><Relationship Id="rId5" Type="http://schemas.openxmlformats.org/officeDocument/2006/relationships/hyperlink" Target="mailto:liling.listyawati@unitomo.ac.id5" TargetMode="External"/><Relationship Id="rId4" Type="http://schemas.openxmlformats.org/officeDocument/2006/relationships/hyperlink" Target="mailto:damajanti.sri@unitomo.ac.id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BD534-24E3-4D0A-A73B-1C775AD64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26</Pages>
  <Words>22523</Words>
  <Characters>128385</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150607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Taufiq Mahmud</dc:creator>
  <cp:lastModifiedBy>Admin</cp:lastModifiedBy>
  <cp:revision>36</cp:revision>
  <dcterms:created xsi:type="dcterms:W3CDTF">2023-03-02T08:09:00Z</dcterms:created>
  <dcterms:modified xsi:type="dcterms:W3CDTF">2023-03-04T01:52:00Z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b4440533abe0039bfc97f39ec29430d59efe8db476714a58a8a6c1426ec1bd0e</vt:lpwstr>
  </property>
</Properties>
</file>